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24748139" w:rsidR="0082498B" w:rsidRDefault="008208FC" w:rsidP="00B67577">
            <w:pPr>
              <w:pStyle w:val="TableParagraph"/>
              <w:spacing w:before="115"/>
              <w:ind w:left="1929"/>
              <w:rPr>
                <w:rFonts w:ascii="Arial"/>
                <w:sz w:val="24"/>
              </w:rPr>
            </w:pPr>
            <w:r>
              <w:rPr>
                <w:rFonts w:ascii="Arial"/>
                <w:sz w:val="24"/>
              </w:rPr>
              <w:t>2</w:t>
            </w:r>
            <w:r w:rsidR="00B67577">
              <w:rPr>
                <w:rFonts w:ascii="Arial"/>
                <w:sz w:val="24"/>
              </w:rPr>
              <w:t>2</w:t>
            </w:r>
            <w:r w:rsidR="00B67577" w:rsidRPr="00B67577">
              <w:rPr>
                <w:rFonts w:ascii="Arial"/>
                <w:sz w:val="24"/>
                <w:vertAlign w:val="superscript"/>
              </w:rPr>
              <w:t>nd</w:t>
            </w:r>
            <w:r w:rsidR="00B67577">
              <w:rPr>
                <w:rFonts w:ascii="Arial"/>
                <w:sz w:val="24"/>
              </w:rPr>
              <w:t xml:space="preserve"> September</w:t>
            </w:r>
            <w:r w:rsidR="009750CE">
              <w:rPr>
                <w:rFonts w:ascii="Arial"/>
                <w:sz w:val="24"/>
              </w:rPr>
              <w:t xml:space="preserve"> </w:t>
            </w:r>
            <w:r w:rsidR="00053B29">
              <w:rPr>
                <w:rFonts w:ascii="Arial"/>
                <w:sz w:val="24"/>
              </w:rPr>
              <w:t>202</w:t>
            </w:r>
            <w:r w:rsidR="002331AA">
              <w:rPr>
                <w:rFonts w:ascii="Arial"/>
                <w:sz w:val="24"/>
              </w:rPr>
              <w:t>3</w:t>
            </w:r>
          </w:p>
        </w:tc>
      </w:tr>
      <w:tr w:rsidR="0082498B" w14:paraId="542252ED" w14:textId="77777777" w:rsidTr="003145CD">
        <w:trPr>
          <w:trHeight w:val="572"/>
        </w:trPr>
        <w:tc>
          <w:tcPr>
            <w:tcW w:w="6287" w:type="dxa"/>
            <w:tcBorders>
              <w:bottom w:val="single" w:sz="4" w:space="0" w:color="000000"/>
            </w:tcBorders>
          </w:tcPr>
          <w:p w14:paraId="6A7C8BE8" w14:textId="36B08262" w:rsidR="0082498B" w:rsidRDefault="006A7840">
            <w:pPr>
              <w:pStyle w:val="TableParagraph"/>
              <w:spacing w:before="116"/>
              <w:ind w:left="112"/>
              <w:rPr>
                <w:rFonts w:ascii="Arial"/>
                <w:b/>
                <w:sz w:val="24"/>
              </w:rPr>
            </w:pPr>
            <w:r>
              <w:rPr>
                <w:rFonts w:ascii="Arial"/>
                <w:b/>
                <w:sz w:val="24"/>
              </w:rPr>
              <w:t>Programme</w:t>
            </w:r>
            <w:r w:rsidR="00FE38DA">
              <w:rPr>
                <w:rFonts w:ascii="Arial"/>
                <w:b/>
                <w:sz w:val="24"/>
              </w:rPr>
              <w:t>s</w:t>
            </w:r>
            <w:r w:rsidR="003F7F75">
              <w:rPr>
                <w:rFonts w:ascii="Arial"/>
                <w:b/>
                <w:spacing w:val="-5"/>
                <w:sz w:val="24"/>
              </w:rPr>
              <w:t xml:space="preserve"> </w:t>
            </w:r>
            <w:r w:rsidR="00053B29">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73F668A8" w14:textId="453343B2" w:rsidR="00BC0E41" w:rsidRDefault="003828A1" w:rsidP="00BC0E41">
            <w:pPr>
              <w:tabs>
                <w:tab w:val="left" w:pos="507"/>
              </w:tabs>
              <w:spacing w:before="93"/>
              <w:ind w:left="276" w:right="222"/>
              <w:rPr>
                <w:sz w:val="24"/>
              </w:rPr>
            </w:pPr>
            <w:r>
              <w:rPr>
                <w:sz w:val="24"/>
              </w:rPr>
              <w:tab/>
            </w:r>
            <w:r w:rsidR="00053B29" w:rsidRPr="003828A1">
              <w:rPr>
                <w:sz w:val="24"/>
              </w:rPr>
              <w:t>This report provides</w:t>
            </w:r>
            <w:r w:rsidRPr="003828A1">
              <w:rPr>
                <w:sz w:val="24"/>
              </w:rPr>
              <w:t xml:space="preserve"> </w:t>
            </w:r>
            <w:r>
              <w:rPr>
                <w:sz w:val="24"/>
              </w:rPr>
              <w:t>an update on the</w:t>
            </w:r>
            <w:r w:rsidR="00BC0E41">
              <w:rPr>
                <w:sz w:val="24"/>
              </w:rPr>
              <w:t xml:space="preserve"> WLWA </w:t>
            </w:r>
            <w:r w:rsidR="006A7840">
              <w:rPr>
                <w:sz w:val="24"/>
              </w:rPr>
              <w:t>Programme</w:t>
            </w:r>
            <w:r w:rsidR="00FE38DA">
              <w:rPr>
                <w:sz w:val="24"/>
              </w:rPr>
              <w:t>s</w:t>
            </w:r>
            <w:r>
              <w:rPr>
                <w:sz w:val="24"/>
              </w:rPr>
              <w:t>.</w:t>
            </w:r>
          </w:p>
          <w:p w14:paraId="27A95FE5" w14:textId="745156D2" w:rsidR="00A1467B" w:rsidRDefault="00A1467B" w:rsidP="00BC0E41">
            <w:pPr>
              <w:pStyle w:val="ListParagraph"/>
              <w:numPr>
                <w:ilvl w:val="0"/>
                <w:numId w:val="17"/>
              </w:numPr>
              <w:tabs>
                <w:tab w:val="left" w:pos="507"/>
              </w:tabs>
              <w:spacing w:before="93"/>
              <w:ind w:right="222"/>
              <w:rPr>
                <w:sz w:val="24"/>
              </w:rPr>
            </w:pPr>
            <w:r>
              <w:rPr>
                <w:sz w:val="24"/>
              </w:rPr>
              <w:t xml:space="preserve">WLWA programmes are delivering </w:t>
            </w:r>
            <w:r w:rsidR="00651CFE">
              <w:rPr>
                <w:sz w:val="24"/>
              </w:rPr>
              <w:t xml:space="preserve">on target </w:t>
            </w:r>
            <w:r>
              <w:rPr>
                <w:sz w:val="24"/>
              </w:rPr>
              <w:t>savings across Communications</w:t>
            </w:r>
            <w:r w:rsidR="00651CFE">
              <w:rPr>
                <w:sz w:val="24"/>
              </w:rPr>
              <w:t>,</w:t>
            </w:r>
            <w:r>
              <w:rPr>
                <w:sz w:val="24"/>
              </w:rPr>
              <w:t xml:space="preserve"> </w:t>
            </w:r>
            <w:r w:rsidR="00651CFE">
              <w:rPr>
                <w:sz w:val="24"/>
              </w:rPr>
              <w:t xml:space="preserve">HRRC, </w:t>
            </w:r>
            <w:r>
              <w:rPr>
                <w:sz w:val="24"/>
              </w:rPr>
              <w:t>Social Value and Reuse</w:t>
            </w:r>
            <w:r w:rsidR="00651CFE">
              <w:rPr>
                <w:sz w:val="24"/>
              </w:rPr>
              <w:t xml:space="preserve"> and </w:t>
            </w:r>
            <w:r w:rsidR="003A3D17">
              <w:rPr>
                <w:sz w:val="24"/>
              </w:rPr>
              <w:t xml:space="preserve">Smart Cities </w:t>
            </w:r>
            <w:r w:rsidR="00651CFE">
              <w:rPr>
                <w:sz w:val="24"/>
              </w:rPr>
              <w:t xml:space="preserve">Data </w:t>
            </w:r>
            <w:r w:rsidR="003A3D17">
              <w:rPr>
                <w:sz w:val="24"/>
              </w:rPr>
              <w:t>programmes</w:t>
            </w:r>
            <w:r>
              <w:rPr>
                <w:sz w:val="24"/>
              </w:rPr>
              <w:t>.</w:t>
            </w:r>
          </w:p>
          <w:p w14:paraId="6031E5DE" w14:textId="62FA3F09" w:rsidR="00F27BA1" w:rsidRDefault="00E048D9" w:rsidP="00BC0E41">
            <w:pPr>
              <w:pStyle w:val="ListParagraph"/>
              <w:numPr>
                <w:ilvl w:val="0"/>
                <w:numId w:val="17"/>
              </w:numPr>
              <w:tabs>
                <w:tab w:val="left" w:pos="507"/>
              </w:tabs>
              <w:spacing w:before="93"/>
              <w:ind w:right="222"/>
              <w:rPr>
                <w:sz w:val="24"/>
              </w:rPr>
            </w:pPr>
            <w:r>
              <w:rPr>
                <w:sz w:val="24"/>
              </w:rPr>
              <w:t>Borough d</w:t>
            </w:r>
            <w:r w:rsidR="00A1467B">
              <w:rPr>
                <w:sz w:val="24"/>
              </w:rPr>
              <w:t xml:space="preserve">ata is a critical deliverable for the progression of two of the core savings areas in Social Value and Reuse and the </w:t>
            </w:r>
            <w:r w:rsidR="00894F87">
              <w:rPr>
                <w:sz w:val="24"/>
              </w:rPr>
              <w:t xml:space="preserve">Smart Cities </w:t>
            </w:r>
            <w:r w:rsidR="00A1467B">
              <w:rPr>
                <w:sz w:val="24"/>
              </w:rPr>
              <w:t xml:space="preserve">Data Programmes. </w:t>
            </w:r>
          </w:p>
          <w:p w14:paraId="321D53F4" w14:textId="32E6DABA" w:rsidR="00AB7547" w:rsidRDefault="00784C31" w:rsidP="00AB7547">
            <w:pPr>
              <w:pStyle w:val="ListParagraph"/>
              <w:numPr>
                <w:ilvl w:val="0"/>
                <w:numId w:val="17"/>
              </w:numPr>
              <w:tabs>
                <w:tab w:val="left" w:pos="507"/>
              </w:tabs>
              <w:spacing w:before="93"/>
              <w:ind w:right="222"/>
              <w:rPr>
                <w:sz w:val="24"/>
              </w:rPr>
            </w:pPr>
            <w:r>
              <w:rPr>
                <w:sz w:val="24"/>
              </w:rPr>
              <w:t>Working together</w:t>
            </w:r>
            <w:r w:rsidR="00D952C8">
              <w:rPr>
                <w:sz w:val="24"/>
              </w:rPr>
              <w:t xml:space="preserve"> </w:t>
            </w:r>
            <w:r w:rsidR="00A1467B">
              <w:rPr>
                <w:sz w:val="24"/>
              </w:rPr>
              <w:t xml:space="preserve">across the climate emergency teams </w:t>
            </w:r>
            <w:r w:rsidR="00D952C8">
              <w:rPr>
                <w:sz w:val="24"/>
              </w:rPr>
              <w:t>will enable us to create consistency of message and to optimise our resources to maximum benefit.</w:t>
            </w:r>
          </w:p>
          <w:p w14:paraId="70A621D4" w14:textId="77777777" w:rsidR="003145CD" w:rsidRDefault="00651CFE" w:rsidP="006A77DE">
            <w:pPr>
              <w:pStyle w:val="ListParagraph"/>
              <w:numPr>
                <w:ilvl w:val="0"/>
                <w:numId w:val="17"/>
              </w:numPr>
              <w:tabs>
                <w:tab w:val="left" w:pos="507"/>
              </w:tabs>
              <w:spacing w:before="93"/>
              <w:ind w:right="222"/>
              <w:rPr>
                <w:sz w:val="24"/>
              </w:rPr>
            </w:pPr>
            <w:r>
              <w:rPr>
                <w:sz w:val="24"/>
              </w:rPr>
              <w:t>Changes in the Projects team and a restructuring of programme roles will enhance clarity and collaboration internally and with Boroughs.</w:t>
            </w:r>
          </w:p>
          <w:p w14:paraId="40880BC5" w14:textId="140AA329" w:rsidR="006A77DE" w:rsidRPr="006A77DE" w:rsidRDefault="006A77DE" w:rsidP="006A77DE">
            <w:pPr>
              <w:pStyle w:val="ListParagraph"/>
              <w:tabs>
                <w:tab w:val="left" w:pos="507"/>
              </w:tabs>
              <w:spacing w:before="93"/>
              <w:ind w:left="996" w:right="222" w:firstLine="0"/>
              <w:rPr>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D91B05">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1104ABF5" w14:textId="052657E4" w:rsidR="001334C4" w:rsidRPr="001334C4" w:rsidRDefault="001334C4" w:rsidP="00B7120D">
            <w:pPr>
              <w:pStyle w:val="TableParagraph"/>
              <w:tabs>
                <w:tab w:val="left" w:pos="829"/>
              </w:tabs>
              <w:rPr>
                <w:rFonts w:ascii="Arial"/>
                <w:i/>
                <w:sz w:val="24"/>
              </w:rPr>
            </w:pPr>
          </w:p>
          <w:p w14:paraId="0B18A7B1" w14:textId="200AB0D2"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sidR="001334C4">
              <w:rPr>
                <w:rFonts w:ascii="Arial"/>
                <w:i/>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r w:rsidR="00D91B05" w14:paraId="5B6A4B27" w14:textId="77777777" w:rsidTr="00D91B05">
        <w:trPr>
          <w:trHeight w:val="1383"/>
        </w:trPr>
        <w:tc>
          <w:tcPr>
            <w:tcW w:w="10929" w:type="dxa"/>
            <w:gridSpan w:val="2"/>
            <w:tcBorders>
              <w:top w:val="single" w:sz="4" w:space="0" w:color="000000"/>
            </w:tcBorders>
          </w:tcPr>
          <w:p w14:paraId="54F523C6" w14:textId="77777777" w:rsidR="00D91B05" w:rsidRDefault="00D91B05">
            <w:pPr>
              <w:pStyle w:val="TableParagraph"/>
              <w:spacing w:before="118"/>
              <w:ind w:left="107"/>
              <w:rPr>
                <w:rFonts w:ascii="Arial"/>
                <w:b/>
                <w:sz w:val="24"/>
              </w:rPr>
            </w:pP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3C106318" w14:textId="2D1209B0" w:rsidR="00074672" w:rsidRDefault="00B079C4" w:rsidP="003546A6">
      <w:pPr>
        <w:pStyle w:val="ListParagraph"/>
        <w:tabs>
          <w:tab w:val="left" w:pos="507"/>
        </w:tabs>
        <w:spacing w:before="93"/>
        <w:ind w:left="360" w:right="222" w:firstLine="0"/>
        <w:rPr>
          <w:sz w:val="24"/>
        </w:rPr>
      </w:pPr>
      <w:r>
        <w:rPr>
          <w:sz w:val="24"/>
        </w:rPr>
        <w:t xml:space="preserve">The </w:t>
      </w:r>
      <w:r w:rsidR="00E15EB0">
        <w:rPr>
          <w:sz w:val="24"/>
        </w:rPr>
        <w:t xml:space="preserve">WLWA </w:t>
      </w:r>
      <w:r>
        <w:rPr>
          <w:sz w:val="24"/>
        </w:rPr>
        <w:t>programme</w:t>
      </w:r>
      <w:r w:rsidR="00E15EB0">
        <w:rPr>
          <w:sz w:val="24"/>
        </w:rPr>
        <w:t>s are</w:t>
      </w:r>
      <w:r>
        <w:rPr>
          <w:sz w:val="24"/>
        </w:rPr>
        <w:t xml:space="preserve"> in the budget for three years from 2023 </w:t>
      </w:r>
      <w:r w:rsidR="00E15EB0">
        <w:rPr>
          <w:sz w:val="24"/>
        </w:rPr>
        <w:t xml:space="preserve">and are </w:t>
      </w:r>
      <w:r>
        <w:rPr>
          <w:sz w:val="24"/>
        </w:rPr>
        <w:t xml:space="preserve">designed to </w:t>
      </w:r>
      <w:r w:rsidR="00074672">
        <w:rPr>
          <w:sz w:val="24"/>
        </w:rPr>
        <w:t>enhance the efficiency of the waste management system across collections, disposal and treatment.</w:t>
      </w:r>
    </w:p>
    <w:p w14:paraId="2B099D9A" w14:textId="1F002437" w:rsidR="00B079C4" w:rsidRDefault="00074672" w:rsidP="003546A6">
      <w:pPr>
        <w:pStyle w:val="ListParagraph"/>
        <w:tabs>
          <w:tab w:val="left" w:pos="507"/>
        </w:tabs>
        <w:spacing w:before="93"/>
        <w:ind w:left="360" w:right="222" w:firstLine="0"/>
        <w:rPr>
          <w:sz w:val="24"/>
        </w:rPr>
      </w:pPr>
      <w:r>
        <w:rPr>
          <w:sz w:val="24"/>
        </w:rPr>
        <w:t xml:space="preserve">The Citizen Perception Programme </w:t>
      </w:r>
      <w:r w:rsidR="005B6390">
        <w:rPr>
          <w:sz w:val="24"/>
        </w:rPr>
        <w:t xml:space="preserve">- </w:t>
      </w:r>
      <w:r>
        <w:rPr>
          <w:sz w:val="24"/>
        </w:rPr>
        <w:t xml:space="preserve">will </w:t>
      </w:r>
      <w:r w:rsidR="00B079C4">
        <w:rPr>
          <w:sz w:val="24"/>
        </w:rPr>
        <w:t xml:space="preserve">measure the levels of knowledge, engagement and participation of residents across the region. This will be used to create new and direct messaging to help shift residents’ approach to waste reduction, material diversion and recycling resulting in more efficient usage of the service already provided. </w:t>
      </w:r>
    </w:p>
    <w:p w14:paraId="625577E5" w14:textId="70633D2A" w:rsidR="00FB12F2" w:rsidRPr="0010117D" w:rsidRDefault="00D73AA9" w:rsidP="0010117D">
      <w:pPr>
        <w:pStyle w:val="ListParagraph"/>
        <w:tabs>
          <w:tab w:val="left" w:pos="507"/>
        </w:tabs>
        <w:spacing w:before="93"/>
        <w:ind w:left="360" w:right="222" w:firstLine="0"/>
        <w:rPr>
          <w:sz w:val="24"/>
        </w:rPr>
      </w:pPr>
      <w:r>
        <w:rPr>
          <w:sz w:val="24"/>
        </w:rPr>
        <w:t>The Social Value and Reuse Programme is designed to deliver a system change to the HRRC services including operational efficiencies, material value benefits and the capture of reuse. The reuse items captured will be managed through our proposed Circular Economy hubs and for</w:t>
      </w:r>
      <w:r w:rsidR="00A0099A">
        <w:rPr>
          <w:sz w:val="24"/>
        </w:rPr>
        <w:t>m</w:t>
      </w:r>
      <w:r>
        <w:rPr>
          <w:sz w:val="24"/>
        </w:rPr>
        <w:t xml:space="preserve"> the basis of our Social Value measurements.</w:t>
      </w:r>
    </w:p>
    <w:p w14:paraId="0E7B344D" w14:textId="259D062D" w:rsidR="00D73AA9" w:rsidRDefault="00D73AA9" w:rsidP="003546A6">
      <w:pPr>
        <w:pStyle w:val="ListParagraph"/>
        <w:tabs>
          <w:tab w:val="left" w:pos="507"/>
        </w:tabs>
        <w:spacing w:before="93"/>
        <w:ind w:left="360" w:right="222" w:firstLine="0"/>
        <w:rPr>
          <w:sz w:val="24"/>
        </w:rPr>
      </w:pPr>
      <w:r>
        <w:rPr>
          <w:sz w:val="24"/>
        </w:rPr>
        <w:t xml:space="preserve">The </w:t>
      </w:r>
      <w:r w:rsidR="004B5EAE">
        <w:rPr>
          <w:sz w:val="24"/>
        </w:rPr>
        <w:t>Smart Cities and Data</w:t>
      </w:r>
      <w:r>
        <w:rPr>
          <w:sz w:val="24"/>
        </w:rPr>
        <w:t xml:space="preserve"> Programme will provide collection routing efficiency savings and consolidate Borough and Authority data. This will be used to identify trends and opportunities to drive further efficiency in our joint waste system and provide a basis for modelling the required changes to service delivery from the Environment Bill (Extended Producer Responsibility EPR, Consistency of Collections and Deposit Return Scheme DRS)</w:t>
      </w:r>
      <w:r w:rsidR="00FB12F2">
        <w:rPr>
          <w:sz w:val="24"/>
        </w:rPr>
        <w:t>.</w:t>
      </w:r>
    </w:p>
    <w:p w14:paraId="32B5F930" w14:textId="16B1BF53" w:rsidR="00FB12F2" w:rsidRDefault="005345C5" w:rsidP="00E048D9">
      <w:pPr>
        <w:pStyle w:val="ListParagraph"/>
        <w:tabs>
          <w:tab w:val="left" w:pos="507"/>
        </w:tabs>
        <w:spacing w:before="93"/>
        <w:ind w:left="360" w:right="222" w:firstLine="0"/>
        <w:rPr>
          <w:sz w:val="24"/>
        </w:rPr>
      </w:pPr>
      <w:r>
        <w:rPr>
          <w:sz w:val="24"/>
        </w:rPr>
        <w:t xml:space="preserve">The Increased Access programme is focused on expanding </w:t>
      </w:r>
      <w:r w:rsidR="0050613D">
        <w:rPr>
          <w:sz w:val="24"/>
        </w:rPr>
        <w:t>residents’</w:t>
      </w:r>
      <w:r w:rsidR="00390DC2">
        <w:rPr>
          <w:sz w:val="24"/>
        </w:rPr>
        <w:t xml:space="preserve"> access to</w:t>
      </w:r>
      <w:r>
        <w:rPr>
          <w:sz w:val="24"/>
        </w:rPr>
        <w:t xml:space="preserve"> </w:t>
      </w:r>
      <w:r w:rsidR="00E048D9">
        <w:rPr>
          <w:sz w:val="24"/>
        </w:rPr>
        <w:t xml:space="preserve">collection </w:t>
      </w:r>
      <w:r>
        <w:rPr>
          <w:sz w:val="24"/>
        </w:rPr>
        <w:t>services t</w:t>
      </w:r>
      <w:r w:rsidR="00390DC2">
        <w:rPr>
          <w:sz w:val="24"/>
        </w:rPr>
        <w:t>o</w:t>
      </w:r>
      <w:r>
        <w:rPr>
          <w:sz w:val="24"/>
        </w:rPr>
        <w:t xml:space="preserve"> all properties</w:t>
      </w:r>
      <w:r w:rsidR="0050613D">
        <w:rPr>
          <w:sz w:val="24"/>
        </w:rPr>
        <w:t xml:space="preserve"> and</w:t>
      </w:r>
      <w:r>
        <w:rPr>
          <w:sz w:val="24"/>
        </w:rPr>
        <w:t xml:space="preserve"> in</w:t>
      </w:r>
      <w:r w:rsidR="00E048D9">
        <w:rPr>
          <w:sz w:val="24"/>
        </w:rPr>
        <w:t>clud</w:t>
      </w:r>
      <w:r w:rsidR="0050613D">
        <w:rPr>
          <w:sz w:val="24"/>
        </w:rPr>
        <w:t>es</w:t>
      </w:r>
      <w:r>
        <w:rPr>
          <w:sz w:val="24"/>
        </w:rPr>
        <w:t xml:space="preserve"> the food waste investment. This</w:t>
      </w:r>
      <w:r w:rsidR="0050613D">
        <w:rPr>
          <w:sz w:val="24"/>
        </w:rPr>
        <w:t xml:space="preserve"> programme</w:t>
      </w:r>
      <w:r>
        <w:rPr>
          <w:sz w:val="24"/>
        </w:rPr>
        <w:t xml:space="preserve"> </w:t>
      </w:r>
      <w:r w:rsidR="00E048D9">
        <w:rPr>
          <w:sz w:val="24"/>
        </w:rPr>
        <w:t>requires</w:t>
      </w:r>
      <w:r>
        <w:rPr>
          <w:sz w:val="24"/>
        </w:rPr>
        <w:t xml:space="preserve"> working with Borough</w:t>
      </w:r>
      <w:r w:rsidR="0038344F">
        <w:rPr>
          <w:sz w:val="24"/>
        </w:rPr>
        <w:t>s</w:t>
      </w:r>
      <w:r>
        <w:rPr>
          <w:sz w:val="24"/>
        </w:rPr>
        <w:t xml:space="preserve"> to identify new ways of </w:t>
      </w:r>
      <w:r w:rsidR="00E048D9">
        <w:rPr>
          <w:sz w:val="24"/>
        </w:rPr>
        <w:t>operating</w:t>
      </w:r>
      <w:r>
        <w:rPr>
          <w:sz w:val="24"/>
        </w:rPr>
        <w:t xml:space="preserve"> and expanding collections services </w:t>
      </w:r>
      <w:r w:rsidR="0050613D">
        <w:rPr>
          <w:sz w:val="24"/>
        </w:rPr>
        <w:t>to cover</w:t>
      </w:r>
      <w:r>
        <w:rPr>
          <w:sz w:val="24"/>
        </w:rPr>
        <w:t xml:space="preserve"> </w:t>
      </w:r>
      <w:r w:rsidR="0050613D">
        <w:rPr>
          <w:sz w:val="24"/>
        </w:rPr>
        <w:t>additional</w:t>
      </w:r>
      <w:r>
        <w:rPr>
          <w:sz w:val="24"/>
        </w:rPr>
        <w:t xml:space="preserve"> materials</w:t>
      </w:r>
      <w:r w:rsidR="0050613D">
        <w:rPr>
          <w:sz w:val="24"/>
        </w:rPr>
        <w:t xml:space="preserve"> such as e-waste, textiles and </w:t>
      </w:r>
      <w:r w:rsidR="00AB7547">
        <w:rPr>
          <w:sz w:val="24"/>
        </w:rPr>
        <w:t>any extended producer responsibility product trials</w:t>
      </w:r>
      <w:r>
        <w:rPr>
          <w:sz w:val="24"/>
        </w:rPr>
        <w:t>.</w:t>
      </w:r>
    </w:p>
    <w:p w14:paraId="3C0599A9" w14:textId="3DE4BF50" w:rsidR="00D91B05" w:rsidRDefault="00D91B05" w:rsidP="00E048D9">
      <w:pPr>
        <w:pStyle w:val="ListParagraph"/>
        <w:tabs>
          <w:tab w:val="left" w:pos="507"/>
        </w:tabs>
        <w:spacing w:before="93"/>
        <w:ind w:left="360" w:right="222" w:firstLine="0"/>
        <w:rPr>
          <w:sz w:val="24"/>
        </w:rPr>
      </w:pPr>
    </w:p>
    <w:p w14:paraId="0B8C2E84" w14:textId="77777777" w:rsidR="00D91B05" w:rsidRDefault="00D91B05" w:rsidP="00E048D9">
      <w:pPr>
        <w:pStyle w:val="ListParagraph"/>
        <w:tabs>
          <w:tab w:val="left" w:pos="507"/>
        </w:tabs>
        <w:spacing w:before="93"/>
        <w:ind w:left="360" w:right="222" w:firstLine="0"/>
        <w:rPr>
          <w:sz w:val="24"/>
        </w:rPr>
      </w:pPr>
    </w:p>
    <w:p w14:paraId="7AC8C098" w14:textId="77777777" w:rsidR="00CD7272" w:rsidRPr="00101DC6" w:rsidRDefault="00053B29" w:rsidP="00101DC6">
      <w:pPr>
        <w:pStyle w:val="ListParagraph"/>
        <w:numPr>
          <w:ilvl w:val="0"/>
          <w:numId w:val="4"/>
        </w:numPr>
        <w:tabs>
          <w:tab w:val="left" w:pos="507"/>
        </w:tabs>
        <w:spacing w:before="121"/>
        <w:ind w:right="222" w:hanging="171"/>
        <w:rPr>
          <w:sz w:val="24"/>
          <w:szCs w:val="24"/>
        </w:rPr>
      </w:pPr>
      <w:r w:rsidRPr="00405477">
        <w:rPr>
          <w:b/>
          <w:sz w:val="24"/>
        </w:rPr>
        <w:lastRenderedPageBreak/>
        <w:t>Risk</w:t>
      </w:r>
    </w:p>
    <w:tbl>
      <w:tblPr>
        <w:tblStyle w:val="TableGrid"/>
        <w:tblW w:w="0" w:type="auto"/>
        <w:jc w:val="center"/>
        <w:tblLook w:val="04A0" w:firstRow="1" w:lastRow="0" w:firstColumn="1" w:lastColumn="0" w:noHBand="0" w:noVBand="1"/>
      </w:tblPr>
      <w:tblGrid>
        <w:gridCol w:w="2583"/>
        <w:gridCol w:w="4075"/>
        <w:gridCol w:w="2279"/>
        <w:gridCol w:w="1286"/>
      </w:tblGrid>
      <w:tr w:rsidR="00FB12F2" w:rsidRPr="00F1423D" w14:paraId="1CE566EE" w14:textId="77777777" w:rsidTr="00A0099A">
        <w:trPr>
          <w:jc w:val="center"/>
        </w:trPr>
        <w:tc>
          <w:tcPr>
            <w:tcW w:w="2583" w:type="dxa"/>
          </w:tcPr>
          <w:p w14:paraId="0D45A218"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Risk</w:t>
            </w:r>
          </w:p>
        </w:tc>
        <w:tc>
          <w:tcPr>
            <w:tcW w:w="4075" w:type="dxa"/>
          </w:tcPr>
          <w:p w14:paraId="436824D9"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Mitigation</w:t>
            </w:r>
          </w:p>
        </w:tc>
        <w:tc>
          <w:tcPr>
            <w:tcW w:w="2279" w:type="dxa"/>
          </w:tcPr>
          <w:p w14:paraId="0D5A602B"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Owner</w:t>
            </w:r>
          </w:p>
        </w:tc>
        <w:tc>
          <w:tcPr>
            <w:tcW w:w="1286" w:type="dxa"/>
          </w:tcPr>
          <w:p w14:paraId="5F280219" w14:textId="77777777" w:rsidR="004F2CB0" w:rsidRPr="00F1423D" w:rsidRDefault="004F2CB0" w:rsidP="00FA052D">
            <w:pPr>
              <w:pStyle w:val="ListParagraph"/>
              <w:tabs>
                <w:tab w:val="left" w:pos="507"/>
              </w:tabs>
              <w:spacing w:before="121"/>
              <w:ind w:left="0" w:right="222" w:firstLine="0"/>
              <w:rPr>
                <w:b/>
                <w:bCs/>
                <w:sz w:val="20"/>
                <w:szCs w:val="20"/>
              </w:rPr>
            </w:pPr>
            <w:r w:rsidRPr="00F1423D">
              <w:rPr>
                <w:b/>
                <w:bCs/>
                <w:sz w:val="20"/>
                <w:szCs w:val="20"/>
              </w:rPr>
              <w:t>RAG</w:t>
            </w:r>
          </w:p>
        </w:tc>
      </w:tr>
      <w:tr w:rsidR="00A0099A" w:rsidRPr="00F1423D" w14:paraId="37D21C39" w14:textId="77777777" w:rsidTr="00A0099A">
        <w:trPr>
          <w:jc w:val="center"/>
        </w:trPr>
        <w:tc>
          <w:tcPr>
            <w:tcW w:w="2583" w:type="dxa"/>
          </w:tcPr>
          <w:p w14:paraId="7EB49952" w14:textId="38A686C7" w:rsidR="00A0099A" w:rsidRPr="00F1423D" w:rsidRDefault="00A0099A" w:rsidP="00A0099A">
            <w:pPr>
              <w:pStyle w:val="ListParagraph"/>
              <w:tabs>
                <w:tab w:val="left" w:pos="507"/>
              </w:tabs>
              <w:spacing w:before="121"/>
              <w:ind w:left="0" w:right="222" w:firstLine="0"/>
              <w:rPr>
                <w:sz w:val="20"/>
                <w:szCs w:val="20"/>
              </w:rPr>
            </w:pPr>
            <w:r w:rsidRPr="00F1423D">
              <w:rPr>
                <w:sz w:val="20"/>
                <w:szCs w:val="20"/>
              </w:rPr>
              <w:t xml:space="preserve">Borough operations </w:t>
            </w:r>
            <w:r w:rsidR="005345C5" w:rsidRPr="00F1423D">
              <w:rPr>
                <w:sz w:val="20"/>
                <w:szCs w:val="20"/>
              </w:rPr>
              <w:t>delivery of</w:t>
            </w:r>
            <w:r w:rsidRPr="00F1423D">
              <w:rPr>
                <w:sz w:val="20"/>
                <w:szCs w:val="20"/>
              </w:rPr>
              <w:t xml:space="preserve"> change will affect the efficiency of the project (take longer to reach break-even)</w:t>
            </w:r>
          </w:p>
        </w:tc>
        <w:tc>
          <w:tcPr>
            <w:tcW w:w="4075" w:type="dxa"/>
          </w:tcPr>
          <w:p w14:paraId="716AD9D2" w14:textId="7289CDCD" w:rsidR="00A0099A" w:rsidRPr="00F1423D" w:rsidRDefault="00A0099A" w:rsidP="00A0099A">
            <w:pPr>
              <w:pStyle w:val="ListParagraph"/>
              <w:tabs>
                <w:tab w:val="left" w:pos="507"/>
              </w:tabs>
              <w:spacing w:before="121"/>
              <w:ind w:left="0" w:right="222" w:firstLine="0"/>
              <w:rPr>
                <w:sz w:val="20"/>
                <w:szCs w:val="20"/>
              </w:rPr>
            </w:pPr>
            <w:r w:rsidRPr="00F1423D">
              <w:rPr>
                <w:sz w:val="20"/>
                <w:szCs w:val="20"/>
              </w:rPr>
              <w:t>Operational management and information is not in WLWA control.  Use Abbey Road information and data to indicate success and continue.</w:t>
            </w:r>
          </w:p>
        </w:tc>
        <w:tc>
          <w:tcPr>
            <w:tcW w:w="2279" w:type="dxa"/>
          </w:tcPr>
          <w:p w14:paraId="2B333105" w14:textId="64A03B22" w:rsidR="00A0099A" w:rsidRPr="00F1423D" w:rsidRDefault="00A0099A" w:rsidP="00A0099A">
            <w:pPr>
              <w:pStyle w:val="ListParagraph"/>
              <w:tabs>
                <w:tab w:val="left" w:pos="507"/>
              </w:tabs>
              <w:spacing w:before="121"/>
              <w:ind w:left="0" w:right="222" w:firstLine="0"/>
              <w:rPr>
                <w:sz w:val="20"/>
                <w:szCs w:val="20"/>
              </w:rPr>
            </w:pPr>
            <w:r w:rsidRPr="00F1423D">
              <w:rPr>
                <w:sz w:val="20"/>
                <w:szCs w:val="20"/>
              </w:rPr>
              <w:t>Boroughs</w:t>
            </w:r>
          </w:p>
        </w:tc>
        <w:tc>
          <w:tcPr>
            <w:tcW w:w="1286" w:type="dxa"/>
            <w:shd w:val="clear" w:color="auto" w:fill="FFC000"/>
          </w:tcPr>
          <w:p w14:paraId="65EC5DA9" w14:textId="2A7088AF" w:rsidR="00A0099A" w:rsidRPr="00F1423D" w:rsidRDefault="00A0099A" w:rsidP="00A0099A">
            <w:pPr>
              <w:pStyle w:val="ListParagraph"/>
              <w:tabs>
                <w:tab w:val="left" w:pos="507"/>
              </w:tabs>
              <w:spacing w:before="121"/>
              <w:ind w:left="0" w:right="222" w:firstLine="0"/>
              <w:rPr>
                <w:sz w:val="20"/>
                <w:szCs w:val="20"/>
              </w:rPr>
            </w:pPr>
            <w:r w:rsidRPr="00F1423D">
              <w:rPr>
                <w:sz w:val="20"/>
                <w:szCs w:val="20"/>
              </w:rPr>
              <w:t>Amber</w:t>
            </w:r>
          </w:p>
        </w:tc>
      </w:tr>
      <w:tr w:rsidR="004F2CB0" w:rsidRPr="00F1423D" w14:paraId="0899B74A" w14:textId="77777777" w:rsidTr="004F2CB0">
        <w:trPr>
          <w:jc w:val="center"/>
        </w:trPr>
        <w:tc>
          <w:tcPr>
            <w:tcW w:w="2583" w:type="dxa"/>
          </w:tcPr>
          <w:p w14:paraId="77BFC6FF" w14:textId="64A598A7" w:rsidR="004F2CB0" w:rsidRPr="00F1423D" w:rsidRDefault="004F2CB0" w:rsidP="00FA052D">
            <w:pPr>
              <w:pStyle w:val="ListParagraph"/>
              <w:tabs>
                <w:tab w:val="left" w:pos="507"/>
              </w:tabs>
              <w:spacing w:before="121"/>
              <w:ind w:left="0" w:right="222" w:firstLine="0"/>
              <w:rPr>
                <w:sz w:val="20"/>
                <w:szCs w:val="20"/>
              </w:rPr>
            </w:pPr>
            <w:r w:rsidRPr="00F1423D">
              <w:rPr>
                <w:sz w:val="20"/>
                <w:szCs w:val="20"/>
              </w:rPr>
              <w:t>Lack of Borough collections data preventing</w:t>
            </w:r>
            <w:r w:rsidR="00540436" w:rsidRPr="00F1423D">
              <w:rPr>
                <w:sz w:val="20"/>
                <w:szCs w:val="20"/>
              </w:rPr>
              <w:t>/delaying</w:t>
            </w:r>
            <w:r w:rsidRPr="00F1423D">
              <w:rPr>
                <w:sz w:val="20"/>
                <w:szCs w:val="20"/>
              </w:rPr>
              <w:t xml:space="preserve"> saving</w:t>
            </w:r>
            <w:r w:rsidR="00540436" w:rsidRPr="00F1423D">
              <w:rPr>
                <w:sz w:val="20"/>
                <w:szCs w:val="20"/>
              </w:rPr>
              <w:t>.</w:t>
            </w:r>
          </w:p>
        </w:tc>
        <w:tc>
          <w:tcPr>
            <w:tcW w:w="4075" w:type="dxa"/>
          </w:tcPr>
          <w:p w14:paraId="1342231E" w14:textId="77777777" w:rsidR="004F2CB0" w:rsidRPr="00F1423D" w:rsidRDefault="004F2CB0" w:rsidP="00FA052D">
            <w:pPr>
              <w:pStyle w:val="ListParagraph"/>
              <w:tabs>
                <w:tab w:val="left" w:pos="507"/>
              </w:tabs>
              <w:spacing w:before="121"/>
              <w:ind w:left="0" w:right="222" w:firstLine="0"/>
              <w:rPr>
                <w:sz w:val="20"/>
                <w:szCs w:val="20"/>
              </w:rPr>
            </w:pPr>
            <w:r w:rsidRPr="00F1423D">
              <w:rPr>
                <w:sz w:val="20"/>
                <w:szCs w:val="20"/>
              </w:rPr>
              <w:t>Environment Directors group and Borough Partnership owners of the data requests.</w:t>
            </w:r>
          </w:p>
        </w:tc>
        <w:tc>
          <w:tcPr>
            <w:tcW w:w="2279" w:type="dxa"/>
          </w:tcPr>
          <w:p w14:paraId="6B4A00C0" w14:textId="77777777" w:rsidR="004F2CB0" w:rsidRPr="00F1423D" w:rsidRDefault="004F2CB0" w:rsidP="00FA052D">
            <w:pPr>
              <w:pStyle w:val="ListParagraph"/>
              <w:tabs>
                <w:tab w:val="left" w:pos="507"/>
              </w:tabs>
              <w:spacing w:before="121"/>
              <w:ind w:left="0" w:right="222" w:firstLine="0"/>
              <w:rPr>
                <w:sz w:val="20"/>
                <w:szCs w:val="20"/>
              </w:rPr>
            </w:pPr>
            <w:r w:rsidRPr="00F1423D">
              <w:rPr>
                <w:sz w:val="20"/>
                <w:szCs w:val="20"/>
              </w:rPr>
              <w:t>Boroughs</w:t>
            </w:r>
          </w:p>
        </w:tc>
        <w:tc>
          <w:tcPr>
            <w:tcW w:w="1286" w:type="dxa"/>
            <w:shd w:val="clear" w:color="auto" w:fill="FFC000"/>
          </w:tcPr>
          <w:p w14:paraId="110BB133" w14:textId="77777777" w:rsidR="004F2CB0" w:rsidRPr="00F1423D" w:rsidRDefault="004F2CB0" w:rsidP="00FA052D">
            <w:pPr>
              <w:pStyle w:val="ListParagraph"/>
              <w:tabs>
                <w:tab w:val="left" w:pos="507"/>
              </w:tabs>
              <w:spacing w:before="121"/>
              <w:ind w:left="0" w:right="222" w:firstLine="0"/>
              <w:rPr>
                <w:sz w:val="20"/>
                <w:szCs w:val="20"/>
              </w:rPr>
            </w:pPr>
            <w:r w:rsidRPr="00F1423D">
              <w:rPr>
                <w:sz w:val="20"/>
                <w:szCs w:val="20"/>
              </w:rPr>
              <w:t>Amber</w:t>
            </w:r>
          </w:p>
        </w:tc>
      </w:tr>
    </w:tbl>
    <w:p w14:paraId="36BC4D55" w14:textId="183972B3" w:rsidR="00D73AA9" w:rsidRDefault="006038A6" w:rsidP="006038A6">
      <w:pPr>
        <w:pStyle w:val="ListParagraph"/>
        <w:tabs>
          <w:tab w:val="left" w:pos="507"/>
        </w:tabs>
        <w:spacing w:before="121"/>
        <w:ind w:left="360" w:right="222" w:firstLine="0"/>
        <w:rPr>
          <w:sz w:val="24"/>
          <w:szCs w:val="24"/>
        </w:rPr>
      </w:pPr>
      <w:r>
        <w:rPr>
          <w:sz w:val="24"/>
          <w:szCs w:val="24"/>
        </w:rPr>
        <w:t>Programme risks include the c</w:t>
      </w:r>
      <w:r w:rsidR="0024303D" w:rsidRPr="00E15FB4">
        <w:rPr>
          <w:sz w:val="24"/>
          <w:szCs w:val="24"/>
        </w:rPr>
        <w:t xml:space="preserve">ontinuing </w:t>
      </w:r>
      <w:r w:rsidR="00AB2437" w:rsidRPr="00E15FB4">
        <w:rPr>
          <w:sz w:val="24"/>
          <w:szCs w:val="24"/>
        </w:rPr>
        <w:t>loss of material from the existing recycling and diversion systems</w:t>
      </w:r>
      <w:r>
        <w:rPr>
          <w:sz w:val="24"/>
          <w:szCs w:val="24"/>
        </w:rPr>
        <w:t xml:space="preserve"> which will</w:t>
      </w:r>
      <w:r w:rsidR="00AB2437" w:rsidRPr="00E15FB4">
        <w:rPr>
          <w:sz w:val="24"/>
          <w:szCs w:val="24"/>
        </w:rPr>
        <w:t xml:space="preserve"> </w:t>
      </w:r>
      <w:r>
        <w:rPr>
          <w:sz w:val="24"/>
          <w:szCs w:val="24"/>
        </w:rPr>
        <w:t>result in</w:t>
      </w:r>
      <w:r w:rsidRPr="00E15FB4">
        <w:rPr>
          <w:sz w:val="24"/>
          <w:szCs w:val="24"/>
        </w:rPr>
        <w:t xml:space="preserve"> </w:t>
      </w:r>
      <w:r w:rsidR="00AB2437" w:rsidRPr="00E15FB4">
        <w:rPr>
          <w:sz w:val="24"/>
          <w:szCs w:val="24"/>
        </w:rPr>
        <w:t>high ongoing disposal cost and will not meet recycling or carbon targets</w:t>
      </w:r>
      <w:r w:rsidR="0024303D" w:rsidRPr="00E15FB4">
        <w:rPr>
          <w:sz w:val="24"/>
          <w:szCs w:val="24"/>
        </w:rPr>
        <w:t>.</w:t>
      </w:r>
      <w:r w:rsidR="00E15FB4">
        <w:rPr>
          <w:sz w:val="24"/>
          <w:szCs w:val="24"/>
        </w:rPr>
        <w:t xml:space="preserve"> </w:t>
      </w:r>
    </w:p>
    <w:p w14:paraId="0FA8DBCC" w14:textId="0F5E7BB3" w:rsidR="001B72B7" w:rsidRDefault="00E15FB4" w:rsidP="006038A6">
      <w:pPr>
        <w:pStyle w:val="ListParagraph"/>
        <w:tabs>
          <w:tab w:val="left" w:pos="507"/>
        </w:tabs>
        <w:spacing w:before="121"/>
        <w:ind w:left="360" w:right="222" w:firstLine="0"/>
        <w:rPr>
          <w:sz w:val="24"/>
          <w:szCs w:val="24"/>
        </w:rPr>
      </w:pPr>
      <w:r>
        <w:rPr>
          <w:sz w:val="24"/>
          <w:szCs w:val="24"/>
        </w:rPr>
        <w:t>Further risks include effective integration with other programmes and projects, which will be managed through regular reporting and the governance process.</w:t>
      </w:r>
    </w:p>
    <w:p w14:paraId="0CBF8DA8" w14:textId="6E13B818" w:rsidR="000C297F" w:rsidRDefault="0010117D" w:rsidP="0010117D">
      <w:pPr>
        <w:pStyle w:val="ListParagraph"/>
        <w:tabs>
          <w:tab w:val="left" w:pos="507"/>
        </w:tabs>
        <w:spacing w:before="121"/>
        <w:ind w:left="360" w:right="222" w:firstLine="0"/>
        <w:rPr>
          <w:b/>
          <w:sz w:val="24"/>
        </w:rPr>
      </w:pPr>
      <w:r>
        <w:rPr>
          <w:sz w:val="24"/>
          <w:szCs w:val="24"/>
        </w:rPr>
        <w:t>A team</w:t>
      </w:r>
      <w:r w:rsidR="00381DD1">
        <w:rPr>
          <w:sz w:val="24"/>
          <w:szCs w:val="24"/>
        </w:rPr>
        <w:t xml:space="preserve"> resource</w:t>
      </w:r>
      <w:r>
        <w:rPr>
          <w:sz w:val="24"/>
          <w:szCs w:val="24"/>
        </w:rPr>
        <w:t xml:space="preserve"> risk has been highlighted previously and has now resulted in a reorganisation of the delivery structure due to key members of the team leaving WLWA. This is covered in section 4 Staffing implications.</w:t>
      </w:r>
    </w:p>
    <w:p w14:paraId="47DFEDF9" w14:textId="674D0339" w:rsidR="006368AB" w:rsidRPr="00054C68" w:rsidRDefault="00053B29" w:rsidP="006368AB">
      <w:pPr>
        <w:pStyle w:val="ListParagraph"/>
        <w:numPr>
          <w:ilvl w:val="0"/>
          <w:numId w:val="4"/>
        </w:numPr>
        <w:tabs>
          <w:tab w:val="left" w:pos="507"/>
        </w:tabs>
        <w:ind w:left="426" w:right="220" w:hanging="218"/>
        <w:rPr>
          <w:sz w:val="24"/>
        </w:rPr>
      </w:pPr>
      <w:r w:rsidRPr="00405477">
        <w:rPr>
          <w:b/>
          <w:sz w:val="24"/>
        </w:rPr>
        <w:t>Financial Implications</w:t>
      </w:r>
    </w:p>
    <w:p w14:paraId="2F379111" w14:textId="570D0CBD" w:rsidR="00381DD1" w:rsidRDefault="00054C68" w:rsidP="00054C68">
      <w:pPr>
        <w:pStyle w:val="ListParagraph"/>
        <w:tabs>
          <w:tab w:val="left" w:pos="507"/>
        </w:tabs>
        <w:ind w:left="426" w:right="220" w:firstLine="0"/>
        <w:rPr>
          <w:bCs/>
          <w:sz w:val="24"/>
        </w:rPr>
      </w:pPr>
      <w:r>
        <w:rPr>
          <w:bCs/>
          <w:sz w:val="24"/>
        </w:rPr>
        <w:t xml:space="preserve">All programmes are </w:t>
      </w:r>
      <w:r w:rsidR="00B877C2">
        <w:rPr>
          <w:bCs/>
          <w:sz w:val="24"/>
        </w:rPr>
        <w:t xml:space="preserve">currently under spent on </w:t>
      </w:r>
      <w:r>
        <w:rPr>
          <w:bCs/>
          <w:sz w:val="24"/>
        </w:rPr>
        <w:t>budget year to date</w:t>
      </w:r>
      <w:r w:rsidR="004A0976">
        <w:rPr>
          <w:bCs/>
          <w:sz w:val="24"/>
        </w:rPr>
        <w:t>. There are</w:t>
      </w:r>
      <w:r w:rsidR="005B34A4">
        <w:rPr>
          <w:bCs/>
          <w:sz w:val="24"/>
        </w:rPr>
        <w:t xml:space="preserve"> delays in some of the procurements, provision of data and some implementation of HRRC changes</w:t>
      </w:r>
      <w:r w:rsidR="00381DD1">
        <w:rPr>
          <w:bCs/>
          <w:sz w:val="24"/>
        </w:rPr>
        <w:t xml:space="preserve">. These impacts will be assessed </w:t>
      </w:r>
      <w:r w:rsidR="002A1FFE">
        <w:rPr>
          <w:bCs/>
          <w:sz w:val="24"/>
        </w:rPr>
        <w:t xml:space="preserve">during the revised processes and delivery timelines will be updated </w:t>
      </w:r>
      <w:r w:rsidR="000E2FFE">
        <w:rPr>
          <w:bCs/>
          <w:sz w:val="24"/>
        </w:rPr>
        <w:t>and reported at</w:t>
      </w:r>
      <w:r w:rsidR="002A1FFE">
        <w:rPr>
          <w:bCs/>
          <w:sz w:val="24"/>
        </w:rPr>
        <w:t xml:space="preserve"> the December </w:t>
      </w:r>
      <w:r w:rsidR="000E2FFE">
        <w:rPr>
          <w:bCs/>
          <w:sz w:val="24"/>
        </w:rPr>
        <w:t>meeting</w:t>
      </w:r>
      <w:r w:rsidR="002A1FFE">
        <w:rPr>
          <w:bCs/>
          <w:sz w:val="24"/>
        </w:rPr>
        <w:t>.</w:t>
      </w:r>
    </w:p>
    <w:p w14:paraId="48EA4F66" w14:textId="403E405A" w:rsidR="00054C68" w:rsidRPr="00054C68" w:rsidRDefault="00381DD1" w:rsidP="00054C68">
      <w:pPr>
        <w:pStyle w:val="ListParagraph"/>
        <w:tabs>
          <w:tab w:val="left" w:pos="507"/>
        </w:tabs>
        <w:ind w:left="426" w:right="220" w:firstLine="0"/>
        <w:rPr>
          <w:bCs/>
          <w:sz w:val="24"/>
        </w:rPr>
      </w:pPr>
      <w:r>
        <w:rPr>
          <w:bCs/>
          <w:sz w:val="24"/>
        </w:rPr>
        <w:t>O</w:t>
      </w:r>
      <w:r w:rsidR="00B877C2">
        <w:rPr>
          <w:bCs/>
          <w:sz w:val="24"/>
        </w:rPr>
        <w:t>fficers have</w:t>
      </w:r>
      <w:r>
        <w:rPr>
          <w:bCs/>
          <w:sz w:val="24"/>
        </w:rPr>
        <w:t xml:space="preserve"> worked with Boroughs and</w:t>
      </w:r>
      <w:r w:rsidR="00B877C2">
        <w:rPr>
          <w:bCs/>
          <w:sz w:val="24"/>
        </w:rPr>
        <w:t xml:space="preserve"> managed to deliver on target or above s</w:t>
      </w:r>
      <w:r w:rsidR="00054C68">
        <w:rPr>
          <w:bCs/>
          <w:sz w:val="24"/>
        </w:rPr>
        <w:t>avings across the programmes as follows;</w:t>
      </w:r>
    </w:p>
    <w:p w14:paraId="60421C59" w14:textId="77777777" w:rsidR="00A0099A" w:rsidRPr="006A77DE" w:rsidRDefault="00A0099A" w:rsidP="006A77DE">
      <w:pPr>
        <w:tabs>
          <w:tab w:val="left" w:pos="507"/>
        </w:tabs>
        <w:ind w:right="220"/>
        <w:rPr>
          <w:bCs/>
          <w:sz w:val="24"/>
        </w:rPr>
      </w:pPr>
    </w:p>
    <w:tbl>
      <w:tblPr>
        <w:tblStyle w:val="TableGrid"/>
        <w:tblW w:w="0" w:type="auto"/>
        <w:jc w:val="center"/>
        <w:tblLook w:val="04A0" w:firstRow="1" w:lastRow="0" w:firstColumn="1" w:lastColumn="0" w:noHBand="0" w:noVBand="1"/>
      </w:tblPr>
      <w:tblGrid>
        <w:gridCol w:w="3681"/>
        <w:gridCol w:w="2268"/>
        <w:gridCol w:w="1984"/>
        <w:gridCol w:w="2834"/>
      </w:tblGrid>
      <w:tr w:rsidR="008151FD" w:rsidRPr="00054C68" w14:paraId="1913C00C" w14:textId="4A52E39E" w:rsidTr="002D7D15">
        <w:trPr>
          <w:trHeight w:val="419"/>
          <w:jc w:val="center"/>
        </w:trPr>
        <w:tc>
          <w:tcPr>
            <w:tcW w:w="3681" w:type="dxa"/>
          </w:tcPr>
          <w:p w14:paraId="543C9057" w14:textId="0E78A237" w:rsidR="008151FD" w:rsidRPr="00054C68" w:rsidRDefault="002D7D15" w:rsidP="00054C68">
            <w:pPr>
              <w:pStyle w:val="ListParagraph"/>
              <w:tabs>
                <w:tab w:val="left" w:pos="507"/>
              </w:tabs>
              <w:ind w:left="0" w:right="220" w:firstLine="0"/>
              <w:rPr>
                <w:b/>
                <w:sz w:val="24"/>
              </w:rPr>
            </w:pPr>
            <w:r>
              <w:rPr>
                <w:b/>
                <w:sz w:val="24"/>
              </w:rPr>
              <w:t>Programme</w:t>
            </w:r>
          </w:p>
        </w:tc>
        <w:tc>
          <w:tcPr>
            <w:tcW w:w="2268" w:type="dxa"/>
          </w:tcPr>
          <w:p w14:paraId="5FFC438F" w14:textId="4A30E253" w:rsidR="008151FD" w:rsidRPr="00054C68" w:rsidRDefault="00223B13" w:rsidP="00054C68">
            <w:pPr>
              <w:pStyle w:val="ListParagraph"/>
              <w:tabs>
                <w:tab w:val="left" w:pos="507"/>
              </w:tabs>
              <w:ind w:left="0" w:right="220" w:firstLine="0"/>
              <w:rPr>
                <w:b/>
                <w:sz w:val="24"/>
              </w:rPr>
            </w:pPr>
            <w:r>
              <w:rPr>
                <w:b/>
                <w:sz w:val="24"/>
              </w:rPr>
              <w:t xml:space="preserve">Expected </w:t>
            </w:r>
            <w:r w:rsidR="008151FD">
              <w:rPr>
                <w:b/>
                <w:sz w:val="24"/>
              </w:rPr>
              <w:t>saving</w:t>
            </w:r>
            <w:r w:rsidR="002D7D15">
              <w:rPr>
                <w:b/>
                <w:sz w:val="24"/>
              </w:rPr>
              <w:t xml:space="preserve"> annual</w:t>
            </w:r>
          </w:p>
        </w:tc>
        <w:tc>
          <w:tcPr>
            <w:tcW w:w="1984" w:type="dxa"/>
          </w:tcPr>
          <w:p w14:paraId="327A4E1F" w14:textId="472B303E" w:rsidR="008151FD" w:rsidRPr="00054C68" w:rsidRDefault="008151FD" w:rsidP="00054C68">
            <w:pPr>
              <w:pStyle w:val="ListParagraph"/>
              <w:tabs>
                <w:tab w:val="left" w:pos="507"/>
              </w:tabs>
              <w:ind w:left="0" w:right="220" w:firstLine="0"/>
              <w:rPr>
                <w:b/>
                <w:sz w:val="24"/>
              </w:rPr>
            </w:pPr>
            <w:r w:rsidRPr="00054C68">
              <w:rPr>
                <w:b/>
                <w:sz w:val="24"/>
              </w:rPr>
              <w:t xml:space="preserve">Savings </w:t>
            </w:r>
            <w:r w:rsidR="002D7D15">
              <w:rPr>
                <w:b/>
                <w:sz w:val="24"/>
              </w:rPr>
              <w:t>YTD</w:t>
            </w:r>
          </w:p>
        </w:tc>
        <w:tc>
          <w:tcPr>
            <w:tcW w:w="2834" w:type="dxa"/>
          </w:tcPr>
          <w:p w14:paraId="68F3007C" w14:textId="262AB8B9" w:rsidR="008151FD" w:rsidRPr="00054C68" w:rsidRDefault="002D7D15" w:rsidP="00054C68">
            <w:pPr>
              <w:pStyle w:val="ListParagraph"/>
              <w:tabs>
                <w:tab w:val="left" w:pos="507"/>
              </w:tabs>
              <w:ind w:left="0" w:right="220" w:firstLine="0"/>
              <w:rPr>
                <w:b/>
                <w:sz w:val="24"/>
              </w:rPr>
            </w:pPr>
            <w:r>
              <w:rPr>
                <w:b/>
                <w:sz w:val="24"/>
              </w:rPr>
              <w:t>Comment</w:t>
            </w:r>
          </w:p>
        </w:tc>
      </w:tr>
      <w:tr w:rsidR="008151FD" w14:paraId="0FB6AC22" w14:textId="4D6677F4" w:rsidTr="002D7D15">
        <w:trPr>
          <w:trHeight w:val="419"/>
          <w:jc w:val="center"/>
        </w:trPr>
        <w:tc>
          <w:tcPr>
            <w:tcW w:w="3681" w:type="dxa"/>
          </w:tcPr>
          <w:p w14:paraId="25BB5C76" w14:textId="40E7B391" w:rsidR="008151FD" w:rsidRPr="008350A0" w:rsidRDefault="008151FD" w:rsidP="00054C68">
            <w:pPr>
              <w:pStyle w:val="ListParagraph"/>
              <w:tabs>
                <w:tab w:val="left" w:pos="507"/>
              </w:tabs>
              <w:ind w:left="0" w:right="220" w:firstLine="0"/>
              <w:rPr>
                <w:bCs/>
                <w:sz w:val="24"/>
              </w:rPr>
            </w:pPr>
            <w:r w:rsidRPr="008350A0">
              <w:rPr>
                <w:bCs/>
                <w:sz w:val="24"/>
              </w:rPr>
              <w:t>Communications</w:t>
            </w:r>
          </w:p>
        </w:tc>
        <w:tc>
          <w:tcPr>
            <w:tcW w:w="2268" w:type="dxa"/>
          </w:tcPr>
          <w:p w14:paraId="2614ED05" w14:textId="776A3C11" w:rsidR="008151FD" w:rsidRPr="008350A0" w:rsidRDefault="00575FC2" w:rsidP="00054C68">
            <w:pPr>
              <w:pStyle w:val="ListParagraph"/>
              <w:tabs>
                <w:tab w:val="left" w:pos="507"/>
              </w:tabs>
              <w:ind w:left="0" w:right="220" w:firstLine="0"/>
              <w:rPr>
                <w:bCs/>
                <w:sz w:val="24"/>
              </w:rPr>
            </w:pPr>
            <w:r w:rsidRPr="008350A0">
              <w:rPr>
                <w:bCs/>
                <w:sz w:val="24"/>
              </w:rPr>
              <w:t>£200k</w:t>
            </w:r>
          </w:p>
        </w:tc>
        <w:tc>
          <w:tcPr>
            <w:tcW w:w="1984" w:type="dxa"/>
          </w:tcPr>
          <w:p w14:paraId="1FD6D504" w14:textId="5541668F" w:rsidR="008151FD" w:rsidRPr="008350A0" w:rsidRDefault="009B07BD" w:rsidP="00054C68">
            <w:pPr>
              <w:pStyle w:val="ListParagraph"/>
              <w:tabs>
                <w:tab w:val="left" w:pos="507"/>
              </w:tabs>
              <w:ind w:left="0" w:right="220" w:firstLine="0"/>
              <w:rPr>
                <w:bCs/>
                <w:sz w:val="24"/>
              </w:rPr>
            </w:pPr>
            <w:r>
              <w:rPr>
                <w:bCs/>
                <w:sz w:val="24"/>
              </w:rPr>
              <w:t>c.£15</w:t>
            </w:r>
            <w:r w:rsidR="00101DC6">
              <w:rPr>
                <w:bCs/>
                <w:sz w:val="24"/>
              </w:rPr>
              <w:t>2</w:t>
            </w:r>
            <w:r>
              <w:rPr>
                <w:bCs/>
                <w:sz w:val="24"/>
              </w:rPr>
              <w:t>k</w:t>
            </w:r>
          </w:p>
        </w:tc>
        <w:tc>
          <w:tcPr>
            <w:tcW w:w="2834" w:type="dxa"/>
          </w:tcPr>
          <w:p w14:paraId="6F149C7C" w14:textId="13AC1A9A" w:rsidR="008151FD" w:rsidRPr="002D7D15" w:rsidRDefault="009B07BD" w:rsidP="00054C68">
            <w:pPr>
              <w:pStyle w:val="ListParagraph"/>
              <w:tabs>
                <w:tab w:val="left" w:pos="507"/>
              </w:tabs>
              <w:ind w:left="0" w:right="220" w:firstLine="0"/>
              <w:rPr>
                <w:bCs/>
                <w:sz w:val="24"/>
              </w:rPr>
            </w:pPr>
            <w:r>
              <w:rPr>
                <w:bCs/>
                <w:sz w:val="24"/>
              </w:rPr>
              <w:t>Material collection</w:t>
            </w:r>
          </w:p>
        </w:tc>
      </w:tr>
      <w:tr w:rsidR="008151FD" w14:paraId="7198862E" w14:textId="04C440E1" w:rsidTr="002D7D15">
        <w:trPr>
          <w:trHeight w:val="419"/>
          <w:jc w:val="center"/>
        </w:trPr>
        <w:tc>
          <w:tcPr>
            <w:tcW w:w="3681" w:type="dxa"/>
          </w:tcPr>
          <w:p w14:paraId="27270B7F" w14:textId="455E10AE" w:rsidR="008151FD" w:rsidRPr="008350A0" w:rsidRDefault="008151FD" w:rsidP="00FA052D">
            <w:pPr>
              <w:pStyle w:val="ListParagraph"/>
              <w:tabs>
                <w:tab w:val="left" w:pos="507"/>
              </w:tabs>
              <w:ind w:left="0" w:right="220" w:firstLine="0"/>
              <w:rPr>
                <w:bCs/>
                <w:sz w:val="24"/>
              </w:rPr>
            </w:pPr>
            <w:r w:rsidRPr="008350A0">
              <w:rPr>
                <w:bCs/>
                <w:sz w:val="24"/>
              </w:rPr>
              <w:t>HRRC, reuse and Social Value</w:t>
            </w:r>
          </w:p>
        </w:tc>
        <w:tc>
          <w:tcPr>
            <w:tcW w:w="2268" w:type="dxa"/>
          </w:tcPr>
          <w:p w14:paraId="1E50BE6F" w14:textId="658CC634" w:rsidR="008151FD" w:rsidRPr="008350A0" w:rsidRDefault="00575FC2" w:rsidP="00FA052D">
            <w:pPr>
              <w:pStyle w:val="ListParagraph"/>
              <w:tabs>
                <w:tab w:val="left" w:pos="507"/>
              </w:tabs>
              <w:ind w:left="0" w:right="220" w:firstLine="0"/>
              <w:rPr>
                <w:bCs/>
                <w:sz w:val="24"/>
              </w:rPr>
            </w:pPr>
            <w:r w:rsidRPr="008350A0">
              <w:rPr>
                <w:bCs/>
                <w:sz w:val="24"/>
              </w:rPr>
              <w:t>£</w:t>
            </w:r>
            <w:r w:rsidR="002D7D15">
              <w:rPr>
                <w:bCs/>
                <w:sz w:val="24"/>
              </w:rPr>
              <w:t>533</w:t>
            </w:r>
            <w:r w:rsidRPr="008350A0">
              <w:rPr>
                <w:bCs/>
                <w:sz w:val="24"/>
              </w:rPr>
              <w:t>k</w:t>
            </w:r>
          </w:p>
        </w:tc>
        <w:tc>
          <w:tcPr>
            <w:tcW w:w="1984" w:type="dxa"/>
          </w:tcPr>
          <w:p w14:paraId="1FF0BD3D" w14:textId="302EFC6E" w:rsidR="008151FD" w:rsidRPr="008350A0" w:rsidRDefault="009B07BD" w:rsidP="00FA052D">
            <w:pPr>
              <w:pStyle w:val="ListParagraph"/>
              <w:tabs>
                <w:tab w:val="left" w:pos="507"/>
              </w:tabs>
              <w:ind w:left="0" w:right="220" w:firstLine="0"/>
              <w:rPr>
                <w:bCs/>
                <w:sz w:val="24"/>
              </w:rPr>
            </w:pPr>
            <w:r>
              <w:rPr>
                <w:bCs/>
                <w:sz w:val="24"/>
              </w:rPr>
              <w:t>c.</w:t>
            </w:r>
            <w:r w:rsidR="008151FD" w:rsidRPr="008350A0">
              <w:rPr>
                <w:bCs/>
                <w:sz w:val="24"/>
              </w:rPr>
              <w:t>£</w:t>
            </w:r>
            <w:r w:rsidR="002D7D15">
              <w:rPr>
                <w:bCs/>
                <w:sz w:val="24"/>
              </w:rPr>
              <w:t>275k</w:t>
            </w:r>
          </w:p>
        </w:tc>
        <w:tc>
          <w:tcPr>
            <w:tcW w:w="2834" w:type="dxa"/>
          </w:tcPr>
          <w:p w14:paraId="77F9A6B7" w14:textId="7650562F" w:rsidR="008151FD" w:rsidRPr="002D7D15" w:rsidRDefault="002D7D15" w:rsidP="00FA052D">
            <w:pPr>
              <w:pStyle w:val="ListParagraph"/>
              <w:tabs>
                <w:tab w:val="left" w:pos="507"/>
              </w:tabs>
              <w:ind w:left="0" w:right="220" w:firstLine="0"/>
              <w:rPr>
                <w:bCs/>
                <w:sz w:val="24"/>
              </w:rPr>
            </w:pPr>
            <w:r w:rsidRPr="002D7D15">
              <w:rPr>
                <w:bCs/>
                <w:sz w:val="24"/>
              </w:rPr>
              <w:t>Material management</w:t>
            </w:r>
          </w:p>
        </w:tc>
      </w:tr>
      <w:tr w:rsidR="008151FD" w14:paraId="2756CF31" w14:textId="3F7DB66A" w:rsidTr="002D7D15">
        <w:trPr>
          <w:trHeight w:val="419"/>
          <w:jc w:val="center"/>
        </w:trPr>
        <w:tc>
          <w:tcPr>
            <w:tcW w:w="3681" w:type="dxa"/>
          </w:tcPr>
          <w:p w14:paraId="6C8C0942" w14:textId="10266696" w:rsidR="008151FD" w:rsidRPr="008350A0" w:rsidRDefault="004B5EAE" w:rsidP="00FA052D">
            <w:pPr>
              <w:pStyle w:val="ListParagraph"/>
              <w:tabs>
                <w:tab w:val="left" w:pos="507"/>
              </w:tabs>
              <w:ind w:left="0" w:right="220" w:firstLine="0"/>
              <w:rPr>
                <w:bCs/>
                <w:sz w:val="24"/>
              </w:rPr>
            </w:pPr>
            <w:r>
              <w:rPr>
                <w:bCs/>
                <w:sz w:val="24"/>
              </w:rPr>
              <w:t xml:space="preserve">Smart Cities and Data </w:t>
            </w:r>
          </w:p>
        </w:tc>
        <w:tc>
          <w:tcPr>
            <w:tcW w:w="2268" w:type="dxa"/>
          </w:tcPr>
          <w:p w14:paraId="7B5056D0" w14:textId="05378D53" w:rsidR="008151FD" w:rsidRPr="008350A0" w:rsidRDefault="00575FC2" w:rsidP="00FA052D">
            <w:pPr>
              <w:pStyle w:val="ListParagraph"/>
              <w:tabs>
                <w:tab w:val="left" w:pos="507"/>
              </w:tabs>
              <w:ind w:left="0" w:right="220" w:firstLine="0"/>
              <w:rPr>
                <w:bCs/>
                <w:sz w:val="24"/>
              </w:rPr>
            </w:pPr>
            <w:r w:rsidRPr="008350A0">
              <w:rPr>
                <w:bCs/>
                <w:sz w:val="24"/>
              </w:rPr>
              <w:t>£600k</w:t>
            </w:r>
          </w:p>
        </w:tc>
        <w:tc>
          <w:tcPr>
            <w:tcW w:w="1984" w:type="dxa"/>
          </w:tcPr>
          <w:p w14:paraId="534C0B35" w14:textId="576172A7" w:rsidR="008151FD" w:rsidRPr="008350A0" w:rsidRDefault="002D7D15" w:rsidP="00FA052D">
            <w:pPr>
              <w:pStyle w:val="ListParagraph"/>
              <w:tabs>
                <w:tab w:val="left" w:pos="507"/>
              </w:tabs>
              <w:ind w:left="0" w:right="220" w:firstLine="0"/>
              <w:rPr>
                <w:bCs/>
                <w:sz w:val="24"/>
              </w:rPr>
            </w:pPr>
            <w:r>
              <w:rPr>
                <w:bCs/>
                <w:sz w:val="24"/>
              </w:rPr>
              <w:t>c.</w:t>
            </w:r>
            <w:r w:rsidR="008151FD" w:rsidRPr="008350A0">
              <w:rPr>
                <w:bCs/>
                <w:sz w:val="24"/>
              </w:rPr>
              <w:t>£</w:t>
            </w:r>
            <w:r w:rsidR="009B07BD">
              <w:rPr>
                <w:bCs/>
                <w:sz w:val="24"/>
              </w:rPr>
              <w:t>4</w:t>
            </w:r>
            <w:r>
              <w:rPr>
                <w:bCs/>
                <w:sz w:val="24"/>
              </w:rPr>
              <w:t>00k</w:t>
            </w:r>
          </w:p>
        </w:tc>
        <w:tc>
          <w:tcPr>
            <w:tcW w:w="2834" w:type="dxa"/>
          </w:tcPr>
          <w:p w14:paraId="54CBC4C4" w14:textId="6052F17B" w:rsidR="008151FD" w:rsidRPr="002D7D15" w:rsidRDefault="002D7D15" w:rsidP="00FA052D">
            <w:pPr>
              <w:pStyle w:val="ListParagraph"/>
              <w:tabs>
                <w:tab w:val="left" w:pos="507"/>
              </w:tabs>
              <w:ind w:left="0" w:right="220" w:firstLine="0"/>
              <w:rPr>
                <w:bCs/>
                <w:sz w:val="24"/>
              </w:rPr>
            </w:pPr>
            <w:r>
              <w:rPr>
                <w:bCs/>
                <w:sz w:val="24"/>
              </w:rPr>
              <w:t>Brent collections</w:t>
            </w:r>
          </w:p>
        </w:tc>
      </w:tr>
    </w:tbl>
    <w:p w14:paraId="4CC66B0C" w14:textId="22574645" w:rsidR="00982BF0" w:rsidRDefault="00982BF0" w:rsidP="00381DD1">
      <w:pPr>
        <w:pStyle w:val="ListParagraph"/>
        <w:tabs>
          <w:tab w:val="left" w:pos="507"/>
        </w:tabs>
        <w:spacing w:before="121"/>
        <w:ind w:left="360" w:right="224" w:firstLine="0"/>
        <w:rPr>
          <w:sz w:val="24"/>
        </w:rPr>
      </w:pPr>
      <w:r>
        <w:rPr>
          <w:sz w:val="24"/>
        </w:rPr>
        <w:t>The communications programme savings have been realised through changes to the delivery of bulky waste service to a wider materials collection service including reuse and greater waste diversion. This has been achieved in Brent with all collections performed through this service. Other boroughs are using the service to manage peak demand and developing business cases for potential wider implementation and savings opportunities.</w:t>
      </w:r>
    </w:p>
    <w:p w14:paraId="63ACAB4B" w14:textId="564407E7" w:rsidR="00982BF0" w:rsidRDefault="00982BF0" w:rsidP="00381DD1">
      <w:pPr>
        <w:pStyle w:val="ListParagraph"/>
        <w:tabs>
          <w:tab w:val="left" w:pos="507"/>
        </w:tabs>
        <w:spacing w:before="121"/>
        <w:ind w:left="360" w:right="224" w:firstLine="0"/>
        <w:rPr>
          <w:sz w:val="24"/>
        </w:rPr>
      </w:pPr>
      <w:r>
        <w:rPr>
          <w:sz w:val="24"/>
        </w:rPr>
        <w:t xml:space="preserve">The HRRC, reuse and social value programme savings have been generated through material </w:t>
      </w:r>
      <w:r w:rsidR="006A77DE">
        <w:rPr>
          <w:sz w:val="24"/>
        </w:rPr>
        <w:t xml:space="preserve">diversion and </w:t>
      </w:r>
      <w:r>
        <w:rPr>
          <w:sz w:val="24"/>
        </w:rPr>
        <w:t>offtake</w:t>
      </w:r>
      <w:r w:rsidR="006A77DE">
        <w:rPr>
          <w:sz w:val="24"/>
        </w:rPr>
        <w:t xml:space="preserve"> contracts</w:t>
      </w:r>
      <w:r>
        <w:rPr>
          <w:sz w:val="24"/>
        </w:rPr>
        <w:t xml:space="preserve"> for paper, card and inert materials </w:t>
      </w:r>
      <w:r w:rsidR="006A77DE">
        <w:rPr>
          <w:sz w:val="24"/>
        </w:rPr>
        <w:t>at</w:t>
      </w:r>
      <w:r>
        <w:rPr>
          <w:sz w:val="24"/>
        </w:rPr>
        <w:t xml:space="preserve"> Harrow, Hillingdon, Ealing and Brent</w:t>
      </w:r>
      <w:r w:rsidR="006A77DE">
        <w:rPr>
          <w:sz w:val="24"/>
        </w:rPr>
        <w:t xml:space="preserve"> sites</w:t>
      </w:r>
      <w:r>
        <w:rPr>
          <w:sz w:val="24"/>
        </w:rPr>
        <w:t xml:space="preserve">. </w:t>
      </w:r>
    </w:p>
    <w:p w14:paraId="036C8A4C" w14:textId="72BCB707" w:rsidR="00AC5D0D" w:rsidRPr="00381DD1" w:rsidRDefault="008350A0" w:rsidP="00381DD1">
      <w:pPr>
        <w:pStyle w:val="ListParagraph"/>
        <w:tabs>
          <w:tab w:val="left" w:pos="507"/>
        </w:tabs>
        <w:spacing w:before="121"/>
        <w:ind w:left="360" w:right="224" w:firstLine="0"/>
        <w:rPr>
          <w:sz w:val="24"/>
        </w:rPr>
      </w:pPr>
      <w:r>
        <w:rPr>
          <w:sz w:val="24"/>
        </w:rPr>
        <w:t>The Food Waste programme spend has</w:t>
      </w:r>
      <w:r w:rsidR="00E97836">
        <w:rPr>
          <w:sz w:val="24"/>
        </w:rPr>
        <w:t xml:space="preserve"> now</w:t>
      </w:r>
      <w:r>
        <w:rPr>
          <w:sz w:val="24"/>
        </w:rPr>
        <w:t xml:space="preserve"> been</w:t>
      </w:r>
      <w:r w:rsidR="00F706D7">
        <w:rPr>
          <w:sz w:val="24"/>
        </w:rPr>
        <w:t xml:space="preserve"> </w:t>
      </w:r>
      <w:r>
        <w:rPr>
          <w:sz w:val="24"/>
        </w:rPr>
        <w:t>committed with the remaining Boroughs completing the procurement and roll out of their business cases.</w:t>
      </w:r>
    </w:p>
    <w:p w14:paraId="15D1340F" w14:textId="2C750746" w:rsidR="00742B60" w:rsidRDefault="008350A0" w:rsidP="00742B60">
      <w:pPr>
        <w:pStyle w:val="ListParagraph"/>
        <w:tabs>
          <w:tab w:val="left" w:pos="507"/>
        </w:tabs>
        <w:spacing w:before="121"/>
        <w:ind w:left="360" w:right="224" w:firstLine="0"/>
        <w:rPr>
          <w:sz w:val="24"/>
        </w:rPr>
      </w:pPr>
      <w:r w:rsidRPr="008350A0">
        <w:rPr>
          <w:sz w:val="24"/>
        </w:rPr>
        <w:t xml:space="preserve">Food waste savings are </w:t>
      </w:r>
      <w:r>
        <w:rPr>
          <w:sz w:val="24"/>
        </w:rPr>
        <w:t>continuing to accrue in line with previous reporting from reduction and expansion of collection services. The figures will be updated following the next round of waste composition analysis in December.</w:t>
      </w:r>
    </w:p>
    <w:p w14:paraId="3266EB89" w14:textId="769F4D54" w:rsidR="00F077F2" w:rsidRPr="008350A0" w:rsidRDefault="006A77DE" w:rsidP="00742B60">
      <w:pPr>
        <w:pStyle w:val="ListParagraph"/>
        <w:tabs>
          <w:tab w:val="left" w:pos="507"/>
        </w:tabs>
        <w:spacing w:before="121"/>
        <w:ind w:left="360" w:right="224" w:firstLine="0"/>
        <w:rPr>
          <w:sz w:val="24"/>
        </w:rPr>
      </w:pPr>
      <w:r>
        <w:rPr>
          <w:sz w:val="24"/>
        </w:rPr>
        <w:t>W</w:t>
      </w:r>
      <w:r w:rsidR="00F077F2">
        <w:rPr>
          <w:sz w:val="24"/>
        </w:rPr>
        <w:t xml:space="preserve">e are asking Boroughs to meet with WLWA officers </w:t>
      </w:r>
      <w:r>
        <w:rPr>
          <w:sz w:val="24"/>
        </w:rPr>
        <w:t xml:space="preserve">as part of the budgeting process for the next financial year </w:t>
      </w:r>
      <w:r w:rsidR="00F077F2">
        <w:rPr>
          <w:sz w:val="24"/>
        </w:rPr>
        <w:t xml:space="preserve">and agree </w:t>
      </w:r>
      <w:r w:rsidR="00344F9B">
        <w:rPr>
          <w:sz w:val="24"/>
        </w:rPr>
        <w:t xml:space="preserve">on </w:t>
      </w:r>
      <w:r w:rsidR="00F077F2">
        <w:rPr>
          <w:sz w:val="24"/>
        </w:rPr>
        <w:t xml:space="preserve">interventions </w:t>
      </w:r>
      <w:r w:rsidR="00344F9B">
        <w:rPr>
          <w:sz w:val="24"/>
        </w:rPr>
        <w:t>to be included in</w:t>
      </w:r>
      <w:r w:rsidR="00F077F2">
        <w:rPr>
          <w:sz w:val="24"/>
        </w:rPr>
        <w:t xml:space="preserve"> the Borough budgets. </w:t>
      </w:r>
      <w:r>
        <w:rPr>
          <w:sz w:val="24"/>
        </w:rPr>
        <w:t xml:space="preserve">This is to create wider </w:t>
      </w:r>
      <w:r w:rsidR="00D02A44">
        <w:rPr>
          <w:sz w:val="24"/>
        </w:rPr>
        <w:t>agreement on savings</w:t>
      </w:r>
      <w:r>
        <w:rPr>
          <w:sz w:val="24"/>
        </w:rPr>
        <w:t xml:space="preserve"> and empower operational teams to deliver on the changes needed at the sites.</w:t>
      </w:r>
    </w:p>
    <w:p w14:paraId="0D508222" w14:textId="078BC796" w:rsidR="008350A0" w:rsidRPr="008350A0" w:rsidRDefault="00053B29" w:rsidP="00FE38DA">
      <w:pPr>
        <w:pStyle w:val="ListParagraph"/>
        <w:numPr>
          <w:ilvl w:val="0"/>
          <w:numId w:val="4"/>
        </w:numPr>
        <w:tabs>
          <w:tab w:val="left" w:pos="507"/>
        </w:tabs>
        <w:spacing w:before="121"/>
        <w:ind w:left="426" w:right="224" w:hanging="284"/>
        <w:rPr>
          <w:sz w:val="24"/>
        </w:rPr>
      </w:pPr>
      <w:r w:rsidRPr="00405477">
        <w:rPr>
          <w:b/>
          <w:sz w:val="24"/>
        </w:rPr>
        <w:lastRenderedPageBreak/>
        <w:t>Staffing Implications</w:t>
      </w:r>
      <w:r w:rsidRPr="00405477">
        <w:rPr>
          <w:sz w:val="24"/>
        </w:rPr>
        <w:t xml:space="preserve"> –</w:t>
      </w:r>
      <w:r w:rsidRPr="00405477">
        <w:rPr>
          <w:b/>
          <w:sz w:val="24"/>
        </w:rPr>
        <w:t xml:space="preserve"> </w:t>
      </w:r>
      <w:r w:rsidR="008350A0">
        <w:rPr>
          <w:bCs/>
          <w:sz w:val="24"/>
        </w:rPr>
        <w:t xml:space="preserve">The programme </w:t>
      </w:r>
      <w:r w:rsidR="009B07BD">
        <w:rPr>
          <w:bCs/>
          <w:sz w:val="24"/>
        </w:rPr>
        <w:t xml:space="preserve">staffing </w:t>
      </w:r>
      <w:r w:rsidR="008350A0">
        <w:rPr>
          <w:bCs/>
          <w:sz w:val="24"/>
        </w:rPr>
        <w:t xml:space="preserve">structure has been revised </w:t>
      </w:r>
      <w:r w:rsidR="00F75D06">
        <w:rPr>
          <w:bCs/>
          <w:sz w:val="24"/>
        </w:rPr>
        <w:t>for greater</w:t>
      </w:r>
      <w:r w:rsidR="008350A0">
        <w:rPr>
          <w:bCs/>
          <w:sz w:val="24"/>
        </w:rPr>
        <w:t xml:space="preserve"> clarity on the individual programmes and the </w:t>
      </w:r>
      <w:r w:rsidR="009B07BD">
        <w:rPr>
          <w:bCs/>
          <w:sz w:val="24"/>
        </w:rPr>
        <w:t>cross-team</w:t>
      </w:r>
      <w:r w:rsidR="008350A0">
        <w:rPr>
          <w:bCs/>
          <w:sz w:val="24"/>
        </w:rPr>
        <w:t xml:space="preserve"> nature of the change</w:t>
      </w:r>
      <w:r w:rsidR="00F75D06">
        <w:rPr>
          <w:bCs/>
          <w:sz w:val="24"/>
        </w:rPr>
        <w:t xml:space="preserve"> delivery</w:t>
      </w:r>
      <w:r w:rsidR="008350A0">
        <w:rPr>
          <w:bCs/>
          <w:sz w:val="24"/>
        </w:rPr>
        <w:t>.</w:t>
      </w:r>
      <w:r w:rsidR="00101DC6">
        <w:rPr>
          <w:bCs/>
          <w:sz w:val="24"/>
        </w:rPr>
        <w:t xml:space="preserve"> Accountable senior leaders have been allocated the delivery of</w:t>
      </w:r>
      <w:r w:rsidR="00F75D06">
        <w:rPr>
          <w:bCs/>
          <w:sz w:val="24"/>
        </w:rPr>
        <w:t xml:space="preserve"> Priorities</w:t>
      </w:r>
      <w:r w:rsidR="00101DC6">
        <w:rPr>
          <w:bCs/>
          <w:sz w:val="24"/>
        </w:rPr>
        <w:t xml:space="preserve"> and Managers have been allocated as responsible officers for programmes aligned with their </w:t>
      </w:r>
      <w:r w:rsidR="000E2FFE">
        <w:rPr>
          <w:bCs/>
          <w:sz w:val="24"/>
        </w:rPr>
        <w:t>long-term</w:t>
      </w:r>
      <w:r w:rsidR="00101DC6">
        <w:rPr>
          <w:bCs/>
          <w:sz w:val="24"/>
        </w:rPr>
        <w:t xml:space="preserve"> deliverables.</w:t>
      </w:r>
    </w:p>
    <w:p w14:paraId="27A7FD53" w14:textId="038D9153" w:rsidR="008350A0" w:rsidRDefault="009B07BD" w:rsidP="008350A0">
      <w:pPr>
        <w:pStyle w:val="ListParagraph"/>
        <w:tabs>
          <w:tab w:val="left" w:pos="507"/>
        </w:tabs>
        <w:spacing w:before="121"/>
        <w:ind w:left="426" w:right="224" w:firstLine="0"/>
        <w:rPr>
          <w:sz w:val="24"/>
        </w:rPr>
      </w:pPr>
      <w:r>
        <w:rPr>
          <w:sz w:val="24"/>
        </w:rPr>
        <w:t xml:space="preserve">The </w:t>
      </w:r>
      <w:r w:rsidR="00101DC6">
        <w:rPr>
          <w:sz w:val="24"/>
        </w:rPr>
        <w:t xml:space="preserve">management of </w:t>
      </w:r>
      <w:r w:rsidR="00E97836">
        <w:rPr>
          <w:sz w:val="24"/>
        </w:rPr>
        <w:t xml:space="preserve">programme </w:t>
      </w:r>
      <w:r>
        <w:rPr>
          <w:sz w:val="24"/>
        </w:rPr>
        <w:t>delivery will be through a matrix approach</w:t>
      </w:r>
      <w:r w:rsidR="00101DC6">
        <w:rPr>
          <w:sz w:val="24"/>
        </w:rPr>
        <w:t>,</w:t>
      </w:r>
      <w:r>
        <w:rPr>
          <w:sz w:val="24"/>
        </w:rPr>
        <w:t xml:space="preserve"> enhancing the collaboration and broadening the engagement with Boroughs.</w:t>
      </w:r>
      <w:r w:rsidR="00651CFE">
        <w:rPr>
          <w:sz w:val="24"/>
        </w:rPr>
        <w:t xml:space="preserve"> (Appendix 1)</w:t>
      </w:r>
    </w:p>
    <w:p w14:paraId="07F3D936" w14:textId="79B9CB8C" w:rsidR="00982BF0" w:rsidRPr="00982BF0" w:rsidRDefault="00101DC6" w:rsidP="00982BF0">
      <w:pPr>
        <w:pStyle w:val="ListParagraph"/>
        <w:tabs>
          <w:tab w:val="left" w:pos="507"/>
        </w:tabs>
        <w:spacing w:before="121"/>
        <w:ind w:left="426" w:right="224" w:firstLine="0"/>
        <w:rPr>
          <w:sz w:val="24"/>
        </w:rPr>
      </w:pPr>
      <w:r>
        <w:rPr>
          <w:sz w:val="24"/>
        </w:rPr>
        <w:t xml:space="preserve">Recruitment is </w:t>
      </w:r>
      <w:r w:rsidR="00F75D06">
        <w:rPr>
          <w:sz w:val="24"/>
        </w:rPr>
        <w:t>already underway</w:t>
      </w:r>
      <w:r>
        <w:rPr>
          <w:sz w:val="24"/>
        </w:rPr>
        <w:t xml:space="preserve"> for the Project Management role and for the 0.5FTE Circular Economy Manager role.</w:t>
      </w:r>
      <w:bookmarkStart w:id="0" w:name="_Hlk145412201"/>
      <w:r w:rsidR="00982BF0" w:rsidRPr="00982BF0">
        <w:rPr>
          <w:sz w:val="24"/>
        </w:rPr>
        <w:t xml:space="preserve"> </w:t>
      </w:r>
    </w:p>
    <w:p w14:paraId="3D84F7B9" w14:textId="29E57D5F" w:rsidR="00FB0403" w:rsidRDefault="00FB0403" w:rsidP="008350A0">
      <w:pPr>
        <w:pStyle w:val="ListParagraph"/>
        <w:tabs>
          <w:tab w:val="left" w:pos="507"/>
        </w:tabs>
        <w:spacing w:before="121"/>
        <w:ind w:left="426" w:right="224" w:firstLine="0"/>
        <w:rPr>
          <w:sz w:val="24"/>
        </w:rPr>
      </w:pPr>
      <w:r>
        <w:rPr>
          <w:sz w:val="24"/>
        </w:rPr>
        <w:t xml:space="preserve">The team has two people leaving, the Strategic Development Lead and Net Zero Carbon Manager. </w:t>
      </w:r>
      <w:r w:rsidR="00982BF0" w:rsidRPr="00982BF0">
        <w:rPr>
          <w:sz w:val="24"/>
        </w:rPr>
        <w:t xml:space="preserve">A recruitment plan is being developed </w:t>
      </w:r>
      <w:r w:rsidR="00982BF0">
        <w:rPr>
          <w:sz w:val="24"/>
        </w:rPr>
        <w:t>including using n</w:t>
      </w:r>
      <w:r w:rsidR="00982BF0" w:rsidRPr="00982BF0">
        <w:rPr>
          <w:sz w:val="24"/>
        </w:rPr>
        <w:t>ew recruitment strategies to attract candidates in a difficult market.</w:t>
      </w:r>
    </w:p>
    <w:bookmarkEnd w:id="0"/>
    <w:p w14:paraId="6CF1F16B" w14:textId="15A6FB29" w:rsidR="0041713B" w:rsidRPr="008B7F69" w:rsidRDefault="00053B29" w:rsidP="00963C13">
      <w:pPr>
        <w:pStyle w:val="ListParagraph"/>
        <w:numPr>
          <w:ilvl w:val="0"/>
          <w:numId w:val="4"/>
        </w:numPr>
        <w:tabs>
          <w:tab w:val="left" w:pos="507"/>
        </w:tabs>
        <w:spacing w:before="121"/>
        <w:ind w:left="426" w:right="224" w:hanging="284"/>
        <w:rPr>
          <w:sz w:val="24"/>
        </w:rPr>
      </w:pPr>
      <w:r w:rsidRPr="002609F8">
        <w:rPr>
          <w:b/>
          <w:sz w:val="24"/>
        </w:rPr>
        <w:t xml:space="preserve">Health and Safety Implications </w:t>
      </w:r>
      <w:r w:rsidRPr="002609F8">
        <w:rPr>
          <w:sz w:val="24"/>
        </w:rPr>
        <w:t>–</w:t>
      </w:r>
      <w:r w:rsidR="00963C13">
        <w:rPr>
          <w:sz w:val="24"/>
        </w:rPr>
        <w:t xml:space="preserve"> </w:t>
      </w:r>
      <w:r w:rsidR="00437A5A">
        <w:rPr>
          <w:sz w:val="24"/>
        </w:rPr>
        <w:t>None</w:t>
      </w:r>
    </w:p>
    <w:p w14:paraId="1FC57A29" w14:textId="77777777" w:rsidR="00AC5D0D" w:rsidRDefault="00053B29" w:rsidP="00AC5D0D">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000E0376">
        <w:rPr>
          <w:b/>
          <w:sz w:val="24"/>
        </w:rPr>
        <w:t>–</w:t>
      </w:r>
      <w:r w:rsidRPr="002609F8">
        <w:rPr>
          <w:b/>
          <w:spacing w:val="-4"/>
          <w:sz w:val="24"/>
        </w:rPr>
        <w:t xml:space="preserve"> </w:t>
      </w:r>
      <w:r w:rsidR="00963C13">
        <w:rPr>
          <w:sz w:val="24"/>
        </w:rPr>
        <w:t>N</w:t>
      </w:r>
      <w:r w:rsidRPr="002609F8">
        <w:rPr>
          <w:sz w:val="24"/>
        </w:rPr>
        <w:t>one</w:t>
      </w:r>
    </w:p>
    <w:p w14:paraId="7E0AD81E" w14:textId="4924B1CA" w:rsidR="007F7432" w:rsidRPr="00AC5D0D" w:rsidRDefault="007F7432" w:rsidP="00AC5D0D">
      <w:pPr>
        <w:pStyle w:val="ListParagraph"/>
        <w:numPr>
          <w:ilvl w:val="0"/>
          <w:numId w:val="4"/>
        </w:numPr>
        <w:tabs>
          <w:tab w:val="left" w:pos="507"/>
        </w:tabs>
        <w:spacing w:before="121"/>
        <w:ind w:left="506" w:hanging="361"/>
        <w:rPr>
          <w:sz w:val="24"/>
        </w:rPr>
      </w:pPr>
      <w:r w:rsidRPr="00AC5D0D">
        <w:rPr>
          <w:b/>
          <w:sz w:val="24"/>
        </w:rPr>
        <w:t xml:space="preserve">Implications for the Environment Directors </w:t>
      </w:r>
    </w:p>
    <w:p w14:paraId="523410B7" w14:textId="6E8D0D40" w:rsidR="00067A9E" w:rsidRPr="00D27207" w:rsidRDefault="00067A9E" w:rsidP="00067A9E">
      <w:pPr>
        <w:pStyle w:val="ListParagraph"/>
        <w:tabs>
          <w:tab w:val="left" w:pos="507"/>
        </w:tabs>
        <w:ind w:left="506" w:firstLine="0"/>
        <w:rPr>
          <w:sz w:val="24"/>
        </w:rPr>
      </w:pPr>
      <w:r w:rsidRPr="00D27207">
        <w:rPr>
          <w:sz w:val="24"/>
        </w:rPr>
        <w:t>The programme</w:t>
      </w:r>
      <w:r w:rsidR="00A1467B">
        <w:rPr>
          <w:sz w:val="24"/>
        </w:rPr>
        <w:t>s</w:t>
      </w:r>
      <w:r w:rsidRPr="00D27207">
        <w:rPr>
          <w:sz w:val="24"/>
        </w:rPr>
        <w:t xml:space="preserve"> </w:t>
      </w:r>
      <w:r w:rsidR="00A1467B">
        <w:rPr>
          <w:sz w:val="24"/>
        </w:rPr>
        <w:t>are</w:t>
      </w:r>
      <w:r w:rsidRPr="00D27207">
        <w:rPr>
          <w:sz w:val="24"/>
        </w:rPr>
        <w:t xml:space="preserve"> </w:t>
      </w:r>
      <w:r>
        <w:rPr>
          <w:sz w:val="24"/>
        </w:rPr>
        <w:t>a key element in delivering</w:t>
      </w:r>
      <w:r w:rsidRPr="00D27207">
        <w:rPr>
          <w:sz w:val="24"/>
        </w:rPr>
        <w:t xml:space="preserve"> the Environment Directors priorities in the next two year</w:t>
      </w:r>
      <w:r>
        <w:rPr>
          <w:sz w:val="24"/>
        </w:rPr>
        <w:t>s</w:t>
      </w:r>
      <w:r w:rsidRPr="00D27207">
        <w:rPr>
          <w:sz w:val="24"/>
        </w:rPr>
        <w:t>. The four priorities are shown below, supported by examples:</w:t>
      </w:r>
    </w:p>
    <w:p w14:paraId="2FDF2E9F" w14:textId="4B836C22" w:rsidR="00D27207" w:rsidRPr="00067A9E" w:rsidRDefault="00067A9E" w:rsidP="00067A9E">
      <w:pPr>
        <w:pStyle w:val="ListParagraph"/>
        <w:tabs>
          <w:tab w:val="left" w:pos="507"/>
        </w:tabs>
        <w:spacing w:before="121"/>
        <w:ind w:left="360" w:right="224" w:firstLine="0"/>
        <w:rPr>
          <w:sz w:val="24"/>
        </w:rPr>
      </w:pPr>
      <w:r>
        <w:rPr>
          <w:noProof/>
          <w:sz w:val="24"/>
          <w:lang w:eastAsia="en-GB"/>
        </w:rPr>
        <w:drawing>
          <wp:inline distT="0" distB="0" distL="0" distR="0" wp14:anchorId="31005796" wp14:editId="454E868B">
            <wp:extent cx="6737230" cy="22379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2445" cy="2239726"/>
                    </a:xfrm>
                    <a:prstGeom prst="rect">
                      <a:avLst/>
                    </a:prstGeom>
                    <a:noFill/>
                  </pic:spPr>
                </pic:pic>
              </a:graphicData>
            </a:graphic>
          </wp:inline>
        </w:drawing>
      </w:r>
    </w:p>
    <w:p w14:paraId="5562CE08" w14:textId="47AA6F47" w:rsidR="00067A9E" w:rsidRPr="00067A9E" w:rsidRDefault="00067A9E" w:rsidP="00067A9E">
      <w:pPr>
        <w:pStyle w:val="ListParagraph"/>
        <w:tabs>
          <w:tab w:val="left" w:pos="507"/>
        </w:tabs>
        <w:ind w:left="506" w:firstLine="0"/>
        <w:rPr>
          <w:sz w:val="24"/>
        </w:rPr>
      </w:pPr>
      <w:r>
        <w:rPr>
          <w:sz w:val="24"/>
        </w:rPr>
        <w:t>Key areas include behaviour change, data gathering, resilience and skills, social value evaluation and future proofing the system.</w:t>
      </w:r>
    </w:p>
    <w:p w14:paraId="58299F1E" w14:textId="708C6746" w:rsidR="0082498B" w:rsidRPr="009E4459" w:rsidRDefault="00053B29">
      <w:pPr>
        <w:pStyle w:val="ListParagraph"/>
        <w:numPr>
          <w:ilvl w:val="0"/>
          <w:numId w:val="4"/>
        </w:numPr>
        <w:tabs>
          <w:tab w:val="left" w:pos="507"/>
        </w:tabs>
        <w:ind w:left="506" w:hanging="361"/>
        <w:rPr>
          <w:sz w:val="24"/>
        </w:rPr>
      </w:pPr>
      <w:r w:rsidRPr="009E4459">
        <w:rPr>
          <w:b/>
          <w:sz w:val="24"/>
        </w:rPr>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58CCFDA2" w14:textId="7142C6A7" w:rsidR="00D27207" w:rsidRDefault="00C2081D" w:rsidP="00D27207">
      <w:pPr>
        <w:pStyle w:val="ListParagraph"/>
        <w:tabs>
          <w:tab w:val="left" w:pos="507"/>
        </w:tabs>
        <w:ind w:left="426" w:right="220" w:firstLine="0"/>
        <w:rPr>
          <w:bCs/>
          <w:sz w:val="24"/>
        </w:rPr>
      </w:pPr>
      <w:r w:rsidRPr="00D27207">
        <w:rPr>
          <w:bCs/>
          <w:sz w:val="24"/>
        </w:rPr>
        <w:t xml:space="preserve">A key factor </w:t>
      </w:r>
      <w:r w:rsidR="00C6713B">
        <w:rPr>
          <w:bCs/>
          <w:sz w:val="24"/>
        </w:rPr>
        <w:t>i</w:t>
      </w:r>
      <w:r w:rsidRPr="00D27207">
        <w:rPr>
          <w:bCs/>
          <w:sz w:val="24"/>
        </w:rPr>
        <w:t>n the Joint Waste Management Strategy is the 65%</w:t>
      </w:r>
      <w:r w:rsidR="00C6713B">
        <w:rPr>
          <w:bCs/>
          <w:sz w:val="24"/>
        </w:rPr>
        <w:t xml:space="preserve"> recycling target.</w:t>
      </w:r>
      <w:r w:rsidRPr="00D27207">
        <w:rPr>
          <w:bCs/>
          <w:sz w:val="24"/>
        </w:rPr>
        <w:t xml:space="preserve"> </w:t>
      </w:r>
      <w:r w:rsidR="00C6713B">
        <w:rPr>
          <w:bCs/>
          <w:sz w:val="24"/>
        </w:rPr>
        <w:t>To meet this a</w:t>
      </w:r>
      <w:r w:rsidR="00D27207" w:rsidRPr="00D27207">
        <w:rPr>
          <w:bCs/>
          <w:sz w:val="24"/>
        </w:rPr>
        <w:t xml:space="preserve"> framework of a joint plan for 2030 to be developed by WLWA and Boroughs was agreed in March 2022.  The joint plan must incorporate managing the rising cost of inflation which can only be countered in WLWA by reducing the amount of waste collected.  </w:t>
      </w:r>
    </w:p>
    <w:p w14:paraId="1EDCBD4C" w14:textId="4B2B02DF" w:rsidR="00D27207" w:rsidRPr="00D27207" w:rsidRDefault="00D27207" w:rsidP="00D27207">
      <w:pPr>
        <w:pStyle w:val="ListParagraph"/>
        <w:tabs>
          <w:tab w:val="left" w:pos="507"/>
        </w:tabs>
        <w:ind w:left="426" w:right="220" w:firstLine="0"/>
        <w:rPr>
          <w:bCs/>
          <w:sz w:val="24"/>
        </w:rPr>
      </w:pPr>
      <w:r w:rsidRPr="00D27207">
        <w:rPr>
          <w:bCs/>
          <w:sz w:val="24"/>
        </w:rPr>
        <w:t>It is vital in this year that we</w:t>
      </w:r>
      <w:r>
        <w:rPr>
          <w:bCs/>
          <w:sz w:val="24"/>
        </w:rPr>
        <w:t>:</w:t>
      </w:r>
      <w:r w:rsidRPr="00D27207">
        <w:rPr>
          <w:bCs/>
          <w:sz w:val="24"/>
        </w:rPr>
        <w:t xml:space="preserve"> </w:t>
      </w:r>
    </w:p>
    <w:p w14:paraId="1556BC6B" w14:textId="77777777" w:rsidR="00D27207" w:rsidRPr="00D27207" w:rsidRDefault="00D27207" w:rsidP="00D27207">
      <w:pPr>
        <w:pStyle w:val="ListParagraph"/>
        <w:numPr>
          <w:ilvl w:val="0"/>
          <w:numId w:val="21"/>
        </w:numPr>
        <w:tabs>
          <w:tab w:val="left" w:pos="507"/>
        </w:tabs>
        <w:ind w:right="220"/>
        <w:rPr>
          <w:bCs/>
          <w:sz w:val="24"/>
        </w:rPr>
      </w:pPr>
      <w:r w:rsidRPr="00D27207">
        <w:rPr>
          <w:bCs/>
          <w:sz w:val="24"/>
        </w:rPr>
        <w:t>Increase the proportion of residents using the food waste service and</w:t>
      </w:r>
    </w:p>
    <w:p w14:paraId="3B870400" w14:textId="77777777" w:rsidR="00D27207" w:rsidRPr="00D27207" w:rsidRDefault="00D27207" w:rsidP="00D27207">
      <w:pPr>
        <w:pStyle w:val="ListParagraph"/>
        <w:numPr>
          <w:ilvl w:val="0"/>
          <w:numId w:val="21"/>
        </w:numPr>
        <w:tabs>
          <w:tab w:val="left" w:pos="507"/>
        </w:tabs>
        <w:ind w:right="220"/>
        <w:rPr>
          <w:bCs/>
          <w:sz w:val="24"/>
        </w:rPr>
      </w:pPr>
      <w:r w:rsidRPr="00D27207">
        <w:rPr>
          <w:bCs/>
          <w:sz w:val="24"/>
        </w:rPr>
        <w:t>Prevent waste at source in the recycling centres.</w:t>
      </w:r>
    </w:p>
    <w:p w14:paraId="45B15781" w14:textId="340BCB0B" w:rsidR="00D27207" w:rsidRDefault="00D27207" w:rsidP="00D27207">
      <w:pPr>
        <w:pStyle w:val="ListParagraph"/>
        <w:tabs>
          <w:tab w:val="left" w:pos="507"/>
        </w:tabs>
        <w:ind w:left="426" w:right="220" w:firstLine="0"/>
        <w:rPr>
          <w:bCs/>
          <w:sz w:val="24"/>
        </w:rPr>
      </w:pPr>
      <w:r w:rsidRPr="00D27207">
        <w:rPr>
          <w:bCs/>
          <w:sz w:val="24"/>
        </w:rPr>
        <w:t>The agreed framework is shown below:</w:t>
      </w:r>
    </w:p>
    <w:p w14:paraId="43792702" w14:textId="1A39054E" w:rsidR="00D27207" w:rsidRPr="00D27207" w:rsidRDefault="00D27207" w:rsidP="00067A9E">
      <w:pPr>
        <w:pStyle w:val="ListParagraph"/>
        <w:tabs>
          <w:tab w:val="left" w:pos="507"/>
        </w:tabs>
        <w:ind w:left="426" w:right="220" w:firstLine="0"/>
        <w:jc w:val="center"/>
        <w:rPr>
          <w:bCs/>
          <w:sz w:val="24"/>
        </w:rPr>
      </w:pPr>
      <w:r>
        <w:rPr>
          <w:b/>
          <w:noProof/>
          <w:szCs w:val="24"/>
          <w:lang w:eastAsia="en-GB"/>
        </w:rPr>
        <w:lastRenderedPageBreak/>
        <w:drawing>
          <wp:inline distT="0" distB="0" distL="0" distR="0" wp14:anchorId="188D2E12" wp14:editId="7B2D2CDF">
            <wp:extent cx="5719313" cy="3426498"/>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14:paraId="4FCA1FDC" w14:textId="56459686" w:rsidR="0082498B" w:rsidRPr="00D27207" w:rsidRDefault="00053B29" w:rsidP="00D27207">
      <w:pPr>
        <w:pStyle w:val="ListParagraph"/>
        <w:tabs>
          <w:tab w:val="left" w:pos="507"/>
        </w:tabs>
        <w:ind w:left="426" w:right="220" w:firstLine="0"/>
        <w:rPr>
          <w:bCs/>
          <w:sz w:val="24"/>
        </w:rPr>
      </w:pPr>
      <w:r w:rsidRPr="00D27207">
        <w:rPr>
          <w:bCs/>
          <w:sz w:val="24"/>
        </w:rPr>
        <w:t xml:space="preserve">The </w:t>
      </w:r>
      <w:r w:rsidR="00437A5A" w:rsidRPr="00D27207">
        <w:rPr>
          <w:bCs/>
          <w:sz w:val="24"/>
        </w:rPr>
        <w:t>programme</w:t>
      </w:r>
      <w:r w:rsidR="00651CFE">
        <w:rPr>
          <w:bCs/>
          <w:sz w:val="24"/>
        </w:rPr>
        <w:t>s</w:t>
      </w:r>
      <w:r w:rsidRPr="00D27207">
        <w:rPr>
          <w:bCs/>
          <w:sz w:val="24"/>
        </w:rPr>
        <w:t xml:space="preserve"> </w:t>
      </w:r>
      <w:r w:rsidR="00651CFE">
        <w:rPr>
          <w:bCs/>
          <w:sz w:val="24"/>
        </w:rPr>
        <w:t>are</w:t>
      </w:r>
      <w:r w:rsidR="004B30C6" w:rsidRPr="00D27207">
        <w:rPr>
          <w:bCs/>
          <w:sz w:val="24"/>
        </w:rPr>
        <w:t xml:space="preserve"> intri</w:t>
      </w:r>
      <w:r w:rsidRPr="00D27207">
        <w:rPr>
          <w:bCs/>
          <w:sz w:val="24"/>
        </w:rPr>
        <w:t xml:space="preserve">nsically linked to the Authority’s Joint Waste </w:t>
      </w:r>
      <w:r w:rsidR="004B30C6" w:rsidRPr="00D27207">
        <w:rPr>
          <w:bCs/>
          <w:sz w:val="24"/>
        </w:rPr>
        <w:t>Management Strategy</w:t>
      </w:r>
      <w:r w:rsidR="00403BCA" w:rsidRPr="00D27207">
        <w:rPr>
          <w:bCs/>
          <w:sz w:val="24"/>
        </w:rPr>
        <w:t xml:space="preserve"> and Business Plan</w:t>
      </w:r>
      <w:r w:rsidRPr="00D27207">
        <w:rPr>
          <w:bCs/>
          <w:sz w:val="24"/>
        </w:rPr>
        <w:t xml:space="preserve">. The projects are driving the design of the new </w:t>
      </w:r>
      <w:r w:rsidR="003546A6" w:rsidRPr="00D27207">
        <w:rPr>
          <w:bCs/>
          <w:sz w:val="24"/>
        </w:rPr>
        <w:t>policies</w:t>
      </w:r>
      <w:r w:rsidR="004B30C6" w:rsidRPr="00D27207">
        <w:rPr>
          <w:bCs/>
          <w:sz w:val="24"/>
        </w:rPr>
        <w:t xml:space="preserve"> and programmes</w:t>
      </w:r>
      <w:r w:rsidRPr="00D27207">
        <w:rPr>
          <w:bCs/>
          <w:sz w:val="24"/>
        </w:rPr>
        <w:t xml:space="preserve"> through data, best practice and identification of opportunities</w:t>
      </w:r>
      <w:r w:rsidR="00A87979" w:rsidRPr="00D27207">
        <w:rPr>
          <w:bCs/>
          <w:sz w:val="24"/>
        </w:rPr>
        <w:t>,</w:t>
      </w:r>
      <w:r w:rsidRPr="00D27207">
        <w:rPr>
          <w:bCs/>
          <w:sz w:val="24"/>
        </w:rPr>
        <w:t xml:space="preserve"> as well as delivering change to meet the desired outcomes and targets </w:t>
      </w:r>
      <w:r w:rsidR="00403BCA" w:rsidRPr="00D27207">
        <w:rPr>
          <w:bCs/>
          <w:sz w:val="24"/>
        </w:rPr>
        <w:t xml:space="preserve">in the </w:t>
      </w:r>
      <w:r w:rsidRPr="00D27207">
        <w:rPr>
          <w:bCs/>
          <w:sz w:val="24"/>
        </w:rPr>
        <w:t>Strategy</w:t>
      </w:r>
      <w:r w:rsidR="00403BCA" w:rsidRPr="00D27207">
        <w:rPr>
          <w:bCs/>
          <w:sz w:val="24"/>
        </w:rPr>
        <w:t xml:space="preserve"> and the proposed Budget</w:t>
      </w:r>
      <w:r w:rsidRPr="00D27207">
        <w:rPr>
          <w:bCs/>
          <w:sz w:val="24"/>
        </w:rPr>
        <w:t>.</w:t>
      </w:r>
    </w:p>
    <w:p w14:paraId="1A5D0014" w14:textId="77777777" w:rsidR="005A2E9C" w:rsidRPr="00403BCA" w:rsidRDefault="005A2E9C" w:rsidP="00403BCA">
      <w:pPr>
        <w:pStyle w:val="ListParagraph"/>
        <w:tabs>
          <w:tab w:val="left" w:pos="507"/>
        </w:tabs>
        <w:spacing w:before="121"/>
        <w:ind w:left="360" w:right="224" w:firstLine="0"/>
        <w:rPr>
          <w:sz w:val="24"/>
        </w:rPr>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rsidRPr="00437A5A" w14:paraId="67380D2B" w14:textId="77777777" w:rsidTr="00437A5A">
        <w:trPr>
          <w:trHeight w:val="416"/>
        </w:trPr>
        <w:tc>
          <w:tcPr>
            <w:tcW w:w="2410" w:type="dxa"/>
          </w:tcPr>
          <w:p w14:paraId="46229D41" w14:textId="77777777" w:rsidR="0082498B" w:rsidRPr="00437A5A" w:rsidRDefault="00053B29">
            <w:pPr>
              <w:pStyle w:val="TableParagraph"/>
              <w:spacing w:before="118"/>
              <w:ind w:left="107"/>
              <w:rPr>
                <w:rFonts w:ascii="Arial"/>
              </w:rPr>
            </w:pPr>
            <w:r w:rsidRPr="00437A5A">
              <w:rPr>
                <w:rFonts w:ascii="Arial"/>
              </w:rPr>
              <w:t>Contact</w:t>
            </w:r>
            <w:r w:rsidRPr="00437A5A">
              <w:rPr>
                <w:rFonts w:ascii="Arial"/>
                <w:spacing w:val="-1"/>
              </w:rPr>
              <w:t xml:space="preserve"> </w:t>
            </w:r>
            <w:r w:rsidRPr="00437A5A">
              <w:rPr>
                <w:rFonts w:ascii="Arial"/>
              </w:rPr>
              <w:t>Officers</w:t>
            </w:r>
          </w:p>
        </w:tc>
        <w:tc>
          <w:tcPr>
            <w:tcW w:w="7941" w:type="dxa"/>
          </w:tcPr>
          <w:p w14:paraId="38F7A972" w14:textId="0048993F" w:rsidR="0082498B" w:rsidRPr="00D91B05" w:rsidRDefault="00053B29">
            <w:pPr>
              <w:pStyle w:val="TableParagraph"/>
              <w:tabs>
                <w:tab w:val="right" w:pos="6687"/>
              </w:tabs>
              <w:spacing w:line="274" w:lineRule="exact"/>
              <w:ind w:left="107"/>
              <w:rPr>
                <w:rFonts w:ascii="Arial"/>
                <w:lang w:val="nl-NL"/>
              </w:rPr>
            </w:pPr>
            <w:r w:rsidRPr="00D91B05">
              <w:rPr>
                <w:rFonts w:ascii="Arial"/>
                <w:lang w:val="nl-NL"/>
              </w:rPr>
              <w:t>Peter</w:t>
            </w:r>
            <w:r w:rsidRPr="00D91B05">
              <w:rPr>
                <w:rFonts w:ascii="Arial"/>
                <w:spacing w:val="-4"/>
                <w:lang w:val="nl-NL"/>
              </w:rPr>
              <w:t xml:space="preserve"> </w:t>
            </w:r>
            <w:proofErr w:type="spellStart"/>
            <w:r w:rsidRPr="00D91B05">
              <w:rPr>
                <w:rFonts w:ascii="Arial"/>
                <w:lang w:val="nl-NL"/>
              </w:rPr>
              <w:t>Tilston</w:t>
            </w:r>
            <w:proofErr w:type="spellEnd"/>
            <w:r w:rsidRPr="00D91B05">
              <w:rPr>
                <w:rFonts w:ascii="Arial"/>
                <w:lang w:val="nl-NL"/>
              </w:rPr>
              <w:t xml:space="preserve">, </w:t>
            </w:r>
            <w:proofErr w:type="spellStart"/>
            <w:r w:rsidRPr="00D91B05">
              <w:rPr>
                <w:rFonts w:ascii="Arial"/>
                <w:lang w:val="nl-NL"/>
              </w:rPr>
              <w:t>Projects</w:t>
            </w:r>
            <w:proofErr w:type="spellEnd"/>
            <w:r w:rsidRPr="00D91B05">
              <w:rPr>
                <w:rFonts w:ascii="Arial"/>
                <w:spacing w:val="-2"/>
                <w:lang w:val="nl-NL"/>
              </w:rPr>
              <w:t xml:space="preserve"> </w:t>
            </w:r>
            <w:r w:rsidRPr="00D91B05">
              <w:rPr>
                <w:rFonts w:ascii="Arial"/>
                <w:lang w:val="nl-NL"/>
              </w:rPr>
              <w:t>Director</w:t>
            </w:r>
            <w:r w:rsidR="00125936" w:rsidRPr="00D91B05">
              <w:rPr>
                <w:rFonts w:ascii="Arial"/>
                <w:lang w:val="nl-NL"/>
              </w:rPr>
              <w:t xml:space="preserve">                            07796 271 713</w:t>
            </w:r>
          </w:p>
          <w:p w14:paraId="102C444C" w14:textId="71CAAAD4" w:rsidR="0082498B" w:rsidRPr="00D91B05" w:rsidRDefault="00D91B05">
            <w:pPr>
              <w:pStyle w:val="TableParagraph"/>
              <w:ind w:left="107"/>
              <w:rPr>
                <w:rFonts w:ascii="Arial"/>
                <w:color w:val="0000FF"/>
                <w:u w:val="single" w:color="0000FF"/>
                <w:lang w:val="nl-NL"/>
              </w:rPr>
            </w:pPr>
            <w:hyperlink r:id="rId11">
              <w:r w:rsidR="00053B29" w:rsidRPr="00D91B05">
                <w:rPr>
                  <w:rFonts w:ascii="Arial"/>
                  <w:color w:val="0000FF"/>
                  <w:u w:val="single" w:color="0000FF"/>
                  <w:lang w:val="nl-NL"/>
                </w:rPr>
                <w:t>petertilston@westlondonwaste.gov.uk</w:t>
              </w:r>
            </w:hyperlink>
          </w:p>
          <w:p w14:paraId="07086847" w14:textId="77777777" w:rsidR="00A87979" w:rsidRPr="00D91B05" w:rsidRDefault="00A87979">
            <w:pPr>
              <w:pStyle w:val="TableParagraph"/>
              <w:ind w:left="107"/>
              <w:rPr>
                <w:rFonts w:ascii="Arial"/>
                <w:lang w:val="nl-NL"/>
              </w:rPr>
            </w:pPr>
          </w:p>
          <w:p w14:paraId="0F6C3DA1" w14:textId="148382A0" w:rsidR="009A39DA" w:rsidRPr="00D91B05" w:rsidRDefault="009A39DA">
            <w:pPr>
              <w:pStyle w:val="TableParagraph"/>
              <w:ind w:left="107"/>
              <w:rPr>
                <w:rFonts w:ascii="Arial"/>
                <w:lang w:val="nl-NL"/>
              </w:rPr>
            </w:pPr>
            <w:r w:rsidRPr="00D91B05">
              <w:rPr>
                <w:rFonts w:ascii="Arial"/>
                <w:lang w:val="nl-NL"/>
              </w:rPr>
              <w:t xml:space="preserve">Motoko Doolan, </w:t>
            </w:r>
            <w:r w:rsidR="00125936" w:rsidRPr="00D91B05">
              <w:rPr>
                <w:rFonts w:ascii="Arial"/>
                <w:lang w:val="nl-NL"/>
              </w:rPr>
              <w:t xml:space="preserve">Net Zero </w:t>
            </w:r>
            <w:r w:rsidRPr="00D91B05">
              <w:rPr>
                <w:rFonts w:ascii="Arial"/>
                <w:lang w:val="nl-NL"/>
              </w:rPr>
              <w:t>Carbon Manager</w:t>
            </w:r>
            <w:r w:rsidR="00125936" w:rsidRPr="00D91B05">
              <w:rPr>
                <w:rFonts w:ascii="Arial"/>
                <w:lang w:val="nl-NL"/>
              </w:rPr>
              <w:t xml:space="preserve">        07917 075 876  </w:t>
            </w:r>
          </w:p>
          <w:p w14:paraId="361EBBE3" w14:textId="1BD56753" w:rsidR="009A39DA" w:rsidRPr="00437A5A" w:rsidRDefault="00D91B05">
            <w:pPr>
              <w:pStyle w:val="TableParagraph"/>
              <w:ind w:left="107"/>
              <w:rPr>
                <w:rFonts w:ascii="Arial"/>
              </w:rPr>
            </w:pPr>
            <w:hyperlink r:id="rId12" w:history="1">
              <w:r w:rsidR="009A39DA" w:rsidRPr="00437A5A">
                <w:rPr>
                  <w:rStyle w:val="Hyperlink"/>
                  <w:rFonts w:ascii="Arial"/>
                </w:rPr>
                <w:t>motokodoolan@westlondonwaste.gov.uk</w:t>
              </w:r>
            </w:hyperlink>
            <w:r w:rsidR="009A39DA" w:rsidRPr="00437A5A">
              <w:rPr>
                <w:rFonts w:ascii="Arial"/>
              </w:rPr>
              <w:t xml:space="preserve"> </w:t>
            </w:r>
          </w:p>
          <w:p w14:paraId="794AC5FB" w14:textId="77777777" w:rsidR="009A39DA" w:rsidRPr="00437A5A" w:rsidRDefault="009A39DA">
            <w:pPr>
              <w:pStyle w:val="TableParagraph"/>
              <w:ind w:left="107"/>
              <w:rPr>
                <w:rFonts w:ascii="Arial"/>
              </w:rPr>
            </w:pPr>
          </w:p>
          <w:p w14:paraId="1A280A94" w14:textId="46AC335A" w:rsidR="000B5E6A" w:rsidRPr="00437A5A" w:rsidRDefault="000B5E6A">
            <w:pPr>
              <w:pStyle w:val="TableParagraph"/>
              <w:ind w:left="107"/>
              <w:rPr>
                <w:rFonts w:ascii="Arial"/>
              </w:rPr>
            </w:pPr>
            <w:r w:rsidRPr="00437A5A">
              <w:rPr>
                <w:rFonts w:ascii="Arial"/>
              </w:rPr>
              <w:t>Sarah Ellis,</w:t>
            </w:r>
            <w:r w:rsidR="00802C97" w:rsidRPr="00437A5A">
              <w:rPr>
                <w:rFonts w:ascii="Arial"/>
              </w:rPr>
              <w:t xml:space="preserve"> Strategic Development Lead</w:t>
            </w:r>
            <w:r w:rsidRPr="00437A5A">
              <w:rPr>
                <w:rFonts w:ascii="Arial"/>
              </w:rPr>
              <w:tab/>
              <w:t xml:space="preserve">  </w:t>
            </w:r>
            <w:r w:rsidR="00437A5A">
              <w:rPr>
                <w:rFonts w:ascii="Arial"/>
              </w:rPr>
              <w:t xml:space="preserve">      </w:t>
            </w:r>
            <w:r w:rsidRPr="00437A5A">
              <w:rPr>
                <w:rFonts w:ascii="Arial"/>
              </w:rPr>
              <w:t>07584 631</w:t>
            </w:r>
            <w:r w:rsidR="00125936" w:rsidRPr="00437A5A">
              <w:rPr>
                <w:rFonts w:ascii="Arial"/>
              </w:rPr>
              <w:t xml:space="preserve"> </w:t>
            </w:r>
            <w:r w:rsidRPr="00437A5A">
              <w:rPr>
                <w:rFonts w:ascii="Arial"/>
              </w:rPr>
              <w:t>710</w:t>
            </w:r>
          </w:p>
          <w:p w14:paraId="07F1EDAF" w14:textId="51CFB9B1" w:rsidR="0082498B" w:rsidRPr="00437A5A" w:rsidRDefault="00D91B05" w:rsidP="00E55764">
            <w:pPr>
              <w:pStyle w:val="TableParagraph"/>
              <w:ind w:left="107"/>
              <w:rPr>
                <w:rFonts w:ascii="Arial"/>
              </w:rPr>
            </w:pPr>
            <w:hyperlink r:id="rId13" w:history="1">
              <w:r w:rsidR="000B5E6A" w:rsidRPr="00437A5A">
                <w:rPr>
                  <w:rStyle w:val="Hyperlink"/>
                  <w:rFonts w:ascii="Arial"/>
                </w:rPr>
                <w:t>sarahellis@westlondonwaste.gov.uk</w:t>
              </w:r>
            </w:hyperlink>
            <w:r w:rsidR="000B5E6A" w:rsidRPr="00437A5A">
              <w:rPr>
                <w:rFonts w:ascii="Arial"/>
              </w:rPr>
              <w:tab/>
            </w:r>
            <w:r w:rsidR="000B5E6A" w:rsidRPr="00437A5A">
              <w:rPr>
                <w:rFonts w:ascii="Arial"/>
              </w:rPr>
              <w:tab/>
            </w:r>
          </w:p>
        </w:tc>
      </w:tr>
    </w:tbl>
    <w:p w14:paraId="4C5BCCF9" w14:textId="0DFD7A16" w:rsidR="0024303D" w:rsidRDefault="0024303D" w:rsidP="00C2081D">
      <w:pPr>
        <w:spacing w:before="75"/>
        <w:ind w:right="-207"/>
        <w:jc w:val="both"/>
        <w:rPr>
          <w:b/>
          <w:bCs/>
        </w:rPr>
      </w:pPr>
    </w:p>
    <w:p w14:paraId="50414853" w14:textId="73808A0A" w:rsidR="00D91B05" w:rsidRDefault="00D91B05" w:rsidP="00C2081D">
      <w:pPr>
        <w:spacing w:before="75"/>
        <w:ind w:right="-207"/>
        <w:jc w:val="both"/>
        <w:rPr>
          <w:b/>
          <w:bCs/>
        </w:rPr>
      </w:pPr>
    </w:p>
    <w:p w14:paraId="253CA56F" w14:textId="22A35A49" w:rsidR="00D91B05" w:rsidRDefault="00D91B05" w:rsidP="00C2081D">
      <w:pPr>
        <w:spacing w:before="75"/>
        <w:ind w:right="-207"/>
        <w:jc w:val="both"/>
        <w:rPr>
          <w:b/>
          <w:bCs/>
        </w:rPr>
      </w:pPr>
    </w:p>
    <w:p w14:paraId="6FCB5684" w14:textId="66C30867" w:rsidR="00D91B05" w:rsidRDefault="00D91B05" w:rsidP="00C2081D">
      <w:pPr>
        <w:spacing w:before="75"/>
        <w:ind w:right="-207"/>
        <w:jc w:val="both"/>
        <w:rPr>
          <w:b/>
          <w:bCs/>
        </w:rPr>
      </w:pPr>
    </w:p>
    <w:p w14:paraId="63263A65" w14:textId="4C9B32DF" w:rsidR="00D91B05" w:rsidRDefault="00D91B05" w:rsidP="00C2081D">
      <w:pPr>
        <w:spacing w:before="75"/>
        <w:ind w:right="-207"/>
        <w:jc w:val="both"/>
        <w:rPr>
          <w:b/>
          <w:bCs/>
        </w:rPr>
      </w:pPr>
    </w:p>
    <w:p w14:paraId="78FB6A5A" w14:textId="602BFAA0" w:rsidR="00D91B05" w:rsidRDefault="00D91B05" w:rsidP="00C2081D">
      <w:pPr>
        <w:spacing w:before="75"/>
        <w:ind w:right="-207"/>
        <w:jc w:val="both"/>
        <w:rPr>
          <w:b/>
          <w:bCs/>
        </w:rPr>
      </w:pPr>
    </w:p>
    <w:p w14:paraId="123AB6C0" w14:textId="7181A96E" w:rsidR="00D91B05" w:rsidRDefault="00D91B05" w:rsidP="00C2081D">
      <w:pPr>
        <w:spacing w:before="75"/>
        <w:ind w:right="-207"/>
        <w:jc w:val="both"/>
        <w:rPr>
          <w:b/>
          <w:bCs/>
        </w:rPr>
      </w:pPr>
    </w:p>
    <w:p w14:paraId="164DDE52" w14:textId="44569EEB" w:rsidR="00D91B05" w:rsidRDefault="00D91B05" w:rsidP="00C2081D">
      <w:pPr>
        <w:spacing w:before="75"/>
        <w:ind w:right="-207"/>
        <w:jc w:val="both"/>
        <w:rPr>
          <w:b/>
          <w:bCs/>
        </w:rPr>
      </w:pPr>
    </w:p>
    <w:p w14:paraId="4A1B80E0" w14:textId="1C2BF39C" w:rsidR="00D91B05" w:rsidRDefault="00D91B05" w:rsidP="00C2081D">
      <w:pPr>
        <w:spacing w:before="75"/>
        <w:ind w:right="-207"/>
        <w:jc w:val="both"/>
        <w:rPr>
          <w:b/>
          <w:bCs/>
        </w:rPr>
      </w:pPr>
    </w:p>
    <w:p w14:paraId="5D2D602B" w14:textId="30CF29D0" w:rsidR="00D91B05" w:rsidRDefault="00D91B05" w:rsidP="00C2081D">
      <w:pPr>
        <w:spacing w:before="75"/>
        <w:ind w:right="-207"/>
        <w:jc w:val="both"/>
        <w:rPr>
          <w:b/>
          <w:bCs/>
        </w:rPr>
      </w:pPr>
    </w:p>
    <w:p w14:paraId="1683E263" w14:textId="5C90B0ED" w:rsidR="00D91B05" w:rsidRDefault="00D91B05" w:rsidP="00C2081D">
      <w:pPr>
        <w:spacing w:before="75"/>
        <w:ind w:right="-207"/>
        <w:jc w:val="both"/>
        <w:rPr>
          <w:b/>
          <w:bCs/>
        </w:rPr>
      </w:pPr>
    </w:p>
    <w:p w14:paraId="35E06072" w14:textId="7BE0C1EA" w:rsidR="00D91B05" w:rsidRDefault="00D91B05" w:rsidP="00C2081D">
      <w:pPr>
        <w:spacing w:before="75"/>
        <w:ind w:right="-207"/>
        <w:jc w:val="both"/>
        <w:rPr>
          <w:b/>
          <w:bCs/>
        </w:rPr>
      </w:pPr>
    </w:p>
    <w:p w14:paraId="787C194D" w14:textId="4BE3A35F" w:rsidR="00D91B05" w:rsidRDefault="00D91B05" w:rsidP="00C2081D">
      <w:pPr>
        <w:spacing w:before="75"/>
        <w:ind w:right="-207"/>
        <w:jc w:val="both"/>
        <w:rPr>
          <w:b/>
          <w:bCs/>
        </w:rPr>
      </w:pPr>
    </w:p>
    <w:p w14:paraId="76FF4BD9" w14:textId="3B0DC9F4" w:rsidR="00D91B05" w:rsidRDefault="00D91B05" w:rsidP="00C2081D">
      <w:pPr>
        <w:spacing w:before="75"/>
        <w:ind w:right="-207"/>
        <w:jc w:val="both"/>
        <w:rPr>
          <w:b/>
          <w:bCs/>
        </w:rPr>
      </w:pPr>
    </w:p>
    <w:p w14:paraId="1B0974E1" w14:textId="54D58A0B" w:rsidR="00D91B05" w:rsidRDefault="00D91B05" w:rsidP="00C2081D">
      <w:pPr>
        <w:spacing w:before="75"/>
        <w:ind w:right="-207"/>
        <w:jc w:val="both"/>
        <w:rPr>
          <w:b/>
          <w:bCs/>
        </w:rPr>
      </w:pPr>
    </w:p>
    <w:p w14:paraId="1F1DAB94" w14:textId="504C0F9A" w:rsidR="00D91B05" w:rsidRDefault="00D91B05" w:rsidP="00C2081D">
      <w:pPr>
        <w:spacing w:before="75"/>
        <w:ind w:right="-207"/>
        <w:jc w:val="both"/>
        <w:rPr>
          <w:b/>
          <w:bCs/>
        </w:rPr>
      </w:pPr>
    </w:p>
    <w:p w14:paraId="10FF61B0" w14:textId="77777777" w:rsidR="00D91B05" w:rsidRDefault="00D91B05" w:rsidP="00C2081D">
      <w:pPr>
        <w:spacing w:before="75"/>
        <w:ind w:right="-207"/>
        <w:jc w:val="both"/>
        <w:rPr>
          <w:b/>
          <w:bCs/>
        </w:rPr>
      </w:pPr>
    </w:p>
    <w:p w14:paraId="6F90DE66" w14:textId="544DBA84" w:rsidR="00A1467B" w:rsidRDefault="00A1467B" w:rsidP="00A1467B">
      <w:pPr>
        <w:tabs>
          <w:tab w:val="left" w:pos="2258"/>
        </w:tabs>
      </w:pPr>
    </w:p>
    <w:p w14:paraId="1691A166" w14:textId="30534F24" w:rsidR="001E194A" w:rsidRDefault="001E194A" w:rsidP="00A1467B">
      <w:pPr>
        <w:tabs>
          <w:tab w:val="left" w:pos="2258"/>
        </w:tabs>
        <w:rPr>
          <w:noProof/>
        </w:rPr>
      </w:pPr>
      <w:r>
        <w:lastRenderedPageBreak/>
        <w:t>Appendix 1</w:t>
      </w:r>
      <w:r w:rsidR="00191577" w:rsidRPr="00191577">
        <w:rPr>
          <w:noProof/>
        </w:rPr>
        <w:t xml:space="preserve"> </w:t>
      </w:r>
    </w:p>
    <w:p w14:paraId="070FE662" w14:textId="77777777" w:rsidR="00D91B05" w:rsidRDefault="00D91B05" w:rsidP="00A1467B">
      <w:pPr>
        <w:tabs>
          <w:tab w:val="left" w:pos="2258"/>
        </w:tabs>
        <w:rPr>
          <w:noProof/>
        </w:rPr>
      </w:pPr>
    </w:p>
    <w:p w14:paraId="5F155553" w14:textId="0D028E38" w:rsidR="00DC0015" w:rsidRDefault="00DC0015" w:rsidP="00A1467B">
      <w:pPr>
        <w:tabs>
          <w:tab w:val="left" w:pos="2258"/>
        </w:tabs>
        <w:rPr>
          <w:noProof/>
        </w:rPr>
      </w:pPr>
      <w:r w:rsidRPr="00DC0015">
        <w:rPr>
          <w:noProof/>
          <w:lang w:eastAsia="en-GB"/>
        </w:rPr>
        <w:drawing>
          <wp:inline distT="0" distB="0" distL="0" distR="0" wp14:anchorId="3616C31A" wp14:editId="1676A1F1">
            <wp:extent cx="6977380" cy="2620010"/>
            <wp:effectExtent l="0" t="0" r="0" b="8890"/>
            <wp:docPr id="522410404" name="Picture 1" descr="A diagram of a financial challe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410404" name="Picture 1" descr="A diagram of a financial challenge&#10;&#10;Description automatically generated with medium confidence"/>
                    <pic:cNvPicPr/>
                  </pic:nvPicPr>
                  <pic:blipFill>
                    <a:blip r:embed="rId14"/>
                    <a:stretch>
                      <a:fillRect/>
                    </a:stretch>
                  </pic:blipFill>
                  <pic:spPr>
                    <a:xfrm>
                      <a:off x="0" y="0"/>
                      <a:ext cx="6977380" cy="2620010"/>
                    </a:xfrm>
                    <a:prstGeom prst="rect">
                      <a:avLst/>
                    </a:prstGeom>
                  </pic:spPr>
                </pic:pic>
              </a:graphicData>
            </a:graphic>
          </wp:inline>
        </w:drawing>
      </w:r>
    </w:p>
    <w:p w14:paraId="57CA3D36" w14:textId="77777777" w:rsidR="00191577" w:rsidRPr="00A1467B" w:rsidRDefault="00191577" w:rsidP="00A1467B">
      <w:pPr>
        <w:tabs>
          <w:tab w:val="left" w:pos="2258"/>
        </w:tabs>
      </w:pPr>
    </w:p>
    <w:sectPr w:rsidR="00191577" w:rsidRPr="00A1467B" w:rsidSect="00FB12F2">
      <w:pgSz w:w="11906" w:h="16838" w:code="9"/>
      <w:pgMar w:top="1281" w:right="459" w:bottom="278" w:left="4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9F26B0B"/>
    <w:multiLevelType w:val="hybridMultilevel"/>
    <w:tmpl w:val="C6B6B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895F6B"/>
    <w:multiLevelType w:val="hybridMultilevel"/>
    <w:tmpl w:val="C28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F2ACC"/>
    <w:multiLevelType w:val="hybridMultilevel"/>
    <w:tmpl w:val="0770A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4D97575"/>
    <w:multiLevelType w:val="hybridMultilevel"/>
    <w:tmpl w:val="AFAE15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2" w15:restartNumberingAfterBreak="0">
    <w:nsid w:val="4577359C"/>
    <w:multiLevelType w:val="hybridMultilevel"/>
    <w:tmpl w:val="CAA6E0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5C6C98"/>
    <w:multiLevelType w:val="hybridMultilevel"/>
    <w:tmpl w:val="A2ECAB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B7A1F8A"/>
    <w:multiLevelType w:val="hybridMultilevel"/>
    <w:tmpl w:val="2D6CFE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5F4EB8"/>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18" w15:restartNumberingAfterBreak="0">
    <w:nsid w:val="722253C3"/>
    <w:multiLevelType w:val="hybridMultilevel"/>
    <w:tmpl w:val="4B209B3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20" w15:restartNumberingAfterBreak="0">
    <w:nsid w:val="73960AB4"/>
    <w:multiLevelType w:val="hybridMultilevel"/>
    <w:tmpl w:val="7930BC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16cid:durableId="1606422708">
    <w:abstractNumId w:val="19"/>
  </w:num>
  <w:num w:numId="2" w16cid:durableId="1313213968">
    <w:abstractNumId w:val="1"/>
  </w:num>
  <w:num w:numId="3" w16cid:durableId="1984460921">
    <w:abstractNumId w:val="21"/>
  </w:num>
  <w:num w:numId="4" w16cid:durableId="1177308791">
    <w:abstractNumId w:val="2"/>
  </w:num>
  <w:num w:numId="5" w16cid:durableId="1349717487">
    <w:abstractNumId w:val="17"/>
  </w:num>
  <w:num w:numId="6" w16cid:durableId="1030836196">
    <w:abstractNumId w:val="7"/>
  </w:num>
  <w:num w:numId="7" w16cid:durableId="766854558">
    <w:abstractNumId w:val="0"/>
  </w:num>
  <w:num w:numId="8" w16cid:durableId="62066844">
    <w:abstractNumId w:val="5"/>
  </w:num>
  <w:num w:numId="9" w16cid:durableId="2024503405">
    <w:abstractNumId w:val="6"/>
  </w:num>
  <w:num w:numId="10" w16cid:durableId="997003680">
    <w:abstractNumId w:val="4"/>
  </w:num>
  <w:num w:numId="11" w16cid:durableId="319232224">
    <w:abstractNumId w:val="3"/>
  </w:num>
  <w:num w:numId="12" w16cid:durableId="1280836662">
    <w:abstractNumId w:val="15"/>
  </w:num>
  <w:num w:numId="13" w16cid:durableId="444689972">
    <w:abstractNumId w:val="18"/>
  </w:num>
  <w:num w:numId="14" w16cid:durableId="1154418541">
    <w:abstractNumId w:val="14"/>
  </w:num>
  <w:num w:numId="15" w16cid:durableId="382599435">
    <w:abstractNumId w:val="20"/>
  </w:num>
  <w:num w:numId="16" w16cid:durableId="1615166526">
    <w:abstractNumId w:val="9"/>
  </w:num>
  <w:num w:numId="17" w16cid:durableId="1477457039">
    <w:abstractNumId w:val="11"/>
  </w:num>
  <w:num w:numId="18" w16cid:durableId="454299637">
    <w:abstractNumId w:val="8"/>
  </w:num>
  <w:num w:numId="19" w16cid:durableId="1755324756">
    <w:abstractNumId w:val="16"/>
  </w:num>
  <w:num w:numId="20" w16cid:durableId="359816911">
    <w:abstractNumId w:val="10"/>
  </w:num>
  <w:num w:numId="21" w16cid:durableId="1927037347">
    <w:abstractNumId w:val="13"/>
  </w:num>
  <w:num w:numId="22" w16cid:durableId="1970356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120B5"/>
    <w:rsid w:val="000158D9"/>
    <w:rsid w:val="000304F7"/>
    <w:rsid w:val="000420D5"/>
    <w:rsid w:val="00045F7B"/>
    <w:rsid w:val="00053B29"/>
    <w:rsid w:val="00054C68"/>
    <w:rsid w:val="00057DE8"/>
    <w:rsid w:val="00067A9E"/>
    <w:rsid w:val="00074672"/>
    <w:rsid w:val="00074825"/>
    <w:rsid w:val="000754CF"/>
    <w:rsid w:val="000835B7"/>
    <w:rsid w:val="00087CF9"/>
    <w:rsid w:val="000938C9"/>
    <w:rsid w:val="0009398F"/>
    <w:rsid w:val="000B5E6A"/>
    <w:rsid w:val="000C297F"/>
    <w:rsid w:val="000C3773"/>
    <w:rsid w:val="000E0376"/>
    <w:rsid w:val="000E2FFE"/>
    <w:rsid w:val="000E6BA2"/>
    <w:rsid w:val="000F6FD3"/>
    <w:rsid w:val="0010117D"/>
    <w:rsid w:val="001018C7"/>
    <w:rsid w:val="00101DC6"/>
    <w:rsid w:val="001121DC"/>
    <w:rsid w:val="00125936"/>
    <w:rsid w:val="001334C4"/>
    <w:rsid w:val="001507CA"/>
    <w:rsid w:val="00156E2F"/>
    <w:rsid w:val="00160ACC"/>
    <w:rsid w:val="0019022F"/>
    <w:rsid w:val="001905CE"/>
    <w:rsid w:val="00191577"/>
    <w:rsid w:val="001B72B7"/>
    <w:rsid w:val="001C631E"/>
    <w:rsid w:val="001E194A"/>
    <w:rsid w:val="001F1C73"/>
    <w:rsid w:val="00210A5B"/>
    <w:rsid w:val="00223B13"/>
    <w:rsid w:val="00226673"/>
    <w:rsid w:val="002331AA"/>
    <w:rsid w:val="0024303D"/>
    <w:rsid w:val="00252565"/>
    <w:rsid w:val="002609F8"/>
    <w:rsid w:val="002A1FFE"/>
    <w:rsid w:val="002A58C6"/>
    <w:rsid w:val="002B775D"/>
    <w:rsid w:val="002C10DA"/>
    <w:rsid w:val="002C14A4"/>
    <w:rsid w:val="002C7E23"/>
    <w:rsid w:val="002D7209"/>
    <w:rsid w:val="002D7D15"/>
    <w:rsid w:val="002E2702"/>
    <w:rsid w:val="003042D0"/>
    <w:rsid w:val="00310A9B"/>
    <w:rsid w:val="003145CD"/>
    <w:rsid w:val="003242EE"/>
    <w:rsid w:val="003421EF"/>
    <w:rsid w:val="00344F9B"/>
    <w:rsid w:val="003546A6"/>
    <w:rsid w:val="00380D42"/>
    <w:rsid w:val="00381DD1"/>
    <w:rsid w:val="003828A1"/>
    <w:rsid w:val="0038344F"/>
    <w:rsid w:val="00390DC2"/>
    <w:rsid w:val="003A3688"/>
    <w:rsid w:val="003A3D17"/>
    <w:rsid w:val="003B531D"/>
    <w:rsid w:val="003F0548"/>
    <w:rsid w:val="003F7F75"/>
    <w:rsid w:val="00400659"/>
    <w:rsid w:val="00403BCA"/>
    <w:rsid w:val="0040493F"/>
    <w:rsid w:val="00405477"/>
    <w:rsid w:val="0041713B"/>
    <w:rsid w:val="00437A5A"/>
    <w:rsid w:val="0044383D"/>
    <w:rsid w:val="004516EF"/>
    <w:rsid w:val="00456DAD"/>
    <w:rsid w:val="00464265"/>
    <w:rsid w:val="004A0976"/>
    <w:rsid w:val="004B30C6"/>
    <w:rsid w:val="004B5EAE"/>
    <w:rsid w:val="004C5E6A"/>
    <w:rsid w:val="004D3AAD"/>
    <w:rsid w:val="004E048A"/>
    <w:rsid w:val="004F2CB0"/>
    <w:rsid w:val="005009E7"/>
    <w:rsid w:val="0050613D"/>
    <w:rsid w:val="00525BC1"/>
    <w:rsid w:val="00530844"/>
    <w:rsid w:val="005345C5"/>
    <w:rsid w:val="00535D34"/>
    <w:rsid w:val="00536656"/>
    <w:rsid w:val="00540436"/>
    <w:rsid w:val="00555A43"/>
    <w:rsid w:val="00575FC2"/>
    <w:rsid w:val="00585C7D"/>
    <w:rsid w:val="005A2E9C"/>
    <w:rsid w:val="005B34A4"/>
    <w:rsid w:val="005B6390"/>
    <w:rsid w:val="005C449A"/>
    <w:rsid w:val="005D1B71"/>
    <w:rsid w:val="005D47E7"/>
    <w:rsid w:val="005E7D66"/>
    <w:rsid w:val="005F2AEB"/>
    <w:rsid w:val="005F6A6D"/>
    <w:rsid w:val="0060215A"/>
    <w:rsid w:val="006038A6"/>
    <w:rsid w:val="00615445"/>
    <w:rsid w:val="0062559A"/>
    <w:rsid w:val="00627F6E"/>
    <w:rsid w:val="006368AB"/>
    <w:rsid w:val="00651CFE"/>
    <w:rsid w:val="00660612"/>
    <w:rsid w:val="00666173"/>
    <w:rsid w:val="0067023C"/>
    <w:rsid w:val="00690255"/>
    <w:rsid w:val="006A77DE"/>
    <w:rsid w:val="006A7840"/>
    <w:rsid w:val="006B0B6D"/>
    <w:rsid w:val="006C284A"/>
    <w:rsid w:val="006D013F"/>
    <w:rsid w:val="006F5900"/>
    <w:rsid w:val="006F7861"/>
    <w:rsid w:val="00702D1E"/>
    <w:rsid w:val="007220CE"/>
    <w:rsid w:val="00736704"/>
    <w:rsid w:val="00742B60"/>
    <w:rsid w:val="00745AAA"/>
    <w:rsid w:val="007502F7"/>
    <w:rsid w:val="00757F1A"/>
    <w:rsid w:val="00761CEC"/>
    <w:rsid w:val="00767C1A"/>
    <w:rsid w:val="00784C31"/>
    <w:rsid w:val="00784CAD"/>
    <w:rsid w:val="00786AA0"/>
    <w:rsid w:val="00793425"/>
    <w:rsid w:val="007B028E"/>
    <w:rsid w:val="007B5EA9"/>
    <w:rsid w:val="007C1928"/>
    <w:rsid w:val="007C2406"/>
    <w:rsid w:val="007D1818"/>
    <w:rsid w:val="007D46AF"/>
    <w:rsid w:val="007E24EA"/>
    <w:rsid w:val="007E6A83"/>
    <w:rsid w:val="007F2692"/>
    <w:rsid w:val="007F7432"/>
    <w:rsid w:val="00802C97"/>
    <w:rsid w:val="00803C39"/>
    <w:rsid w:val="008151FD"/>
    <w:rsid w:val="00817F5D"/>
    <w:rsid w:val="008208FC"/>
    <w:rsid w:val="0082498B"/>
    <w:rsid w:val="00824C79"/>
    <w:rsid w:val="0082603A"/>
    <w:rsid w:val="00833671"/>
    <w:rsid w:val="008339FF"/>
    <w:rsid w:val="008350A0"/>
    <w:rsid w:val="00847B0C"/>
    <w:rsid w:val="00870A28"/>
    <w:rsid w:val="008746CA"/>
    <w:rsid w:val="00881182"/>
    <w:rsid w:val="00887DF7"/>
    <w:rsid w:val="00894F87"/>
    <w:rsid w:val="008A711E"/>
    <w:rsid w:val="008B7F69"/>
    <w:rsid w:val="008C1548"/>
    <w:rsid w:val="008C6EC6"/>
    <w:rsid w:val="008E186A"/>
    <w:rsid w:val="008E5CF0"/>
    <w:rsid w:val="0092510B"/>
    <w:rsid w:val="00925186"/>
    <w:rsid w:val="00927CB5"/>
    <w:rsid w:val="0094529B"/>
    <w:rsid w:val="00963C13"/>
    <w:rsid w:val="009723F5"/>
    <w:rsid w:val="009750CE"/>
    <w:rsid w:val="00982BF0"/>
    <w:rsid w:val="009A39DA"/>
    <w:rsid w:val="009A7C99"/>
    <w:rsid w:val="009B07BD"/>
    <w:rsid w:val="009B526D"/>
    <w:rsid w:val="009B7C95"/>
    <w:rsid w:val="009D20DA"/>
    <w:rsid w:val="009E4459"/>
    <w:rsid w:val="009F4EAF"/>
    <w:rsid w:val="00A0099A"/>
    <w:rsid w:val="00A14497"/>
    <w:rsid w:val="00A1467B"/>
    <w:rsid w:val="00A1676D"/>
    <w:rsid w:val="00A34E95"/>
    <w:rsid w:val="00A535D8"/>
    <w:rsid w:val="00A71864"/>
    <w:rsid w:val="00A84015"/>
    <w:rsid w:val="00A86707"/>
    <w:rsid w:val="00A87979"/>
    <w:rsid w:val="00A942D4"/>
    <w:rsid w:val="00AA23B4"/>
    <w:rsid w:val="00AA7B92"/>
    <w:rsid w:val="00AB0D40"/>
    <w:rsid w:val="00AB2437"/>
    <w:rsid w:val="00AB3F11"/>
    <w:rsid w:val="00AB7547"/>
    <w:rsid w:val="00AC0124"/>
    <w:rsid w:val="00AC4D11"/>
    <w:rsid w:val="00AC5D0D"/>
    <w:rsid w:val="00AD657F"/>
    <w:rsid w:val="00B079C4"/>
    <w:rsid w:val="00B1363E"/>
    <w:rsid w:val="00B23329"/>
    <w:rsid w:val="00B236CE"/>
    <w:rsid w:val="00B53FD2"/>
    <w:rsid w:val="00B661D9"/>
    <w:rsid w:val="00B67577"/>
    <w:rsid w:val="00B701F1"/>
    <w:rsid w:val="00B7120D"/>
    <w:rsid w:val="00B80F42"/>
    <w:rsid w:val="00B83384"/>
    <w:rsid w:val="00B877C2"/>
    <w:rsid w:val="00B90233"/>
    <w:rsid w:val="00B92670"/>
    <w:rsid w:val="00B926A1"/>
    <w:rsid w:val="00BB7A6F"/>
    <w:rsid w:val="00BC0E41"/>
    <w:rsid w:val="00BD6499"/>
    <w:rsid w:val="00BF7E3F"/>
    <w:rsid w:val="00C2081D"/>
    <w:rsid w:val="00C23329"/>
    <w:rsid w:val="00C54D4C"/>
    <w:rsid w:val="00C56E32"/>
    <w:rsid w:val="00C6713B"/>
    <w:rsid w:val="00C75A47"/>
    <w:rsid w:val="00C76B1F"/>
    <w:rsid w:val="00C82023"/>
    <w:rsid w:val="00C82C32"/>
    <w:rsid w:val="00C959EF"/>
    <w:rsid w:val="00CA5D99"/>
    <w:rsid w:val="00CD7272"/>
    <w:rsid w:val="00CD7D1C"/>
    <w:rsid w:val="00CE3516"/>
    <w:rsid w:val="00CF27DF"/>
    <w:rsid w:val="00D01BB4"/>
    <w:rsid w:val="00D02A44"/>
    <w:rsid w:val="00D03EB7"/>
    <w:rsid w:val="00D05240"/>
    <w:rsid w:val="00D24EE3"/>
    <w:rsid w:val="00D27207"/>
    <w:rsid w:val="00D32CB5"/>
    <w:rsid w:val="00D42A21"/>
    <w:rsid w:val="00D53C04"/>
    <w:rsid w:val="00D57F87"/>
    <w:rsid w:val="00D6721B"/>
    <w:rsid w:val="00D73AA9"/>
    <w:rsid w:val="00D74887"/>
    <w:rsid w:val="00D9008A"/>
    <w:rsid w:val="00D91B05"/>
    <w:rsid w:val="00D952C8"/>
    <w:rsid w:val="00D95A17"/>
    <w:rsid w:val="00DB2CF1"/>
    <w:rsid w:val="00DB455F"/>
    <w:rsid w:val="00DC0015"/>
    <w:rsid w:val="00DC072D"/>
    <w:rsid w:val="00DC32F0"/>
    <w:rsid w:val="00DC588B"/>
    <w:rsid w:val="00DD651F"/>
    <w:rsid w:val="00E0168F"/>
    <w:rsid w:val="00E048D9"/>
    <w:rsid w:val="00E0665A"/>
    <w:rsid w:val="00E15EB0"/>
    <w:rsid w:val="00E15FB4"/>
    <w:rsid w:val="00E261E4"/>
    <w:rsid w:val="00E311F8"/>
    <w:rsid w:val="00E55764"/>
    <w:rsid w:val="00E90694"/>
    <w:rsid w:val="00E91672"/>
    <w:rsid w:val="00E92831"/>
    <w:rsid w:val="00E96DAB"/>
    <w:rsid w:val="00E97836"/>
    <w:rsid w:val="00EC2C52"/>
    <w:rsid w:val="00ED1DD8"/>
    <w:rsid w:val="00ED3BF8"/>
    <w:rsid w:val="00EE0B55"/>
    <w:rsid w:val="00EE0BF1"/>
    <w:rsid w:val="00EE2B11"/>
    <w:rsid w:val="00EE2CB9"/>
    <w:rsid w:val="00EE6AEE"/>
    <w:rsid w:val="00EF453B"/>
    <w:rsid w:val="00F02764"/>
    <w:rsid w:val="00F077F2"/>
    <w:rsid w:val="00F11F08"/>
    <w:rsid w:val="00F1423D"/>
    <w:rsid w:val="00F207C5"/>
    <w:rsid w:val="00F208E7"/>
    <w:rsid w:val="00F25D32"/>
    <w:rsid w:val="00F26A6C"/>
    <w:rsid w:val="00F27BA1"/>
    <w:rsid w:val="00F50529"/>
    <w:rsid w:val="00F52144"/>
    <w:rsid w:val="00F60FE3"/>
    <w:rsid w:val="00F63AFC"/>
    <w:rsid w:val="00F706D7"/>
    <w:rsid w:val="00F71189"/>
    <w:rsid w:val="00F75D06"/>
    <w:rsid w:val="00F867E9"/>
    <w:rsid w:val="00FA255C"/>
    <w:rsid w:val="00FA49F6"/>
    <w:rsid w:val="00FB0403"/>
    <w:rsid w:val="00FB12F2"/>
    <w:rsid w:val="00FC6847"/>
    <w:rsid w:val="00FD0E69"/>
    <w:rsid w:val="00FE28C9"/>
    <w:rsid w:val="00FE3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2">
    <w:name w:val="heading 2"/>
    <w:basedOn w:val="Normal"/>
    <w:next w:val="Normal"/>
    <w:link w:val="Heading2Char"/>
    <w:uiPriority w:val="9"/>
    <w:unhideWhenUsed/>
    <w:qFormat/>
    <w:rsid w:val="006368AB"/>
    <w:pPr>
      <w:keepNext/>
      <w:widowControl/>
      <w:autoSpaceDE/>
      <w:autoSpaceDN/>
      <w:jc w:val="right"/>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5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unhideWhenUsed/>
    <w:rsid w:val="00E261E4"/>
    <w:rPr>
      <w:sz w:val="20"/>
      <w:szCs w:val="20"/>
    </w:rPr>
  </w:style>
  <w:style w:type="character" w:customStyle="1" w:styleId="CommentTextChar">
    <w:name w:val="Comment Text Char"/>
    <w:basedOn w:val="DefaultParagraphFont"/>
    <w:link w:val="CommentText"/>
    <w:uiPriority w:val="99"/>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rsid w:val="006368AB"/>
    <w:rPr>
      <w:rFonts w:ascii="Arial" w:hAnsi="Arial" w:cs="Arial"/>
      <w:b/>
      <w:lang w:val="en-GB"/>
    </w:rPr>
  </w:style>
  <w:style w:type="paragraph" w:styleId="Revision">
    <w:name w:val="Revision"/>
    <w:hidden/>
    <w:uiPriority w:val="99"/>
    <w:semiHidden/>
    <w:rsid w:val="00D74887"/>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488">
      <w:bodyDiv w:val="1"/>
      <w:marLeft w:val="0"/>
      <w:marRight w:val="0"/>
      <w:marTop w:val="0"/>
      <w:marBottom w:val="0"/>
      <w:divBdr>
        <w:top w:val="none" w:sz="0" w:space="0" w:color="auto"/>
        <w:left w:val="none" w:sz="0" w:space="0" w:color="auto"/>
        <w:bottom w:val="none" w:sz="0" w:space="0" w:color="auto"/>
        <w:right w:val="none" w:sz="0" w:space="0" w:color="auto"/>
      </w:divBdr>
    </w:div>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ellis@westlondonwast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tokodoolan@westlondonwast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tilston@westlondonwast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2.xml><?xml version="1.0" encoding="utf-8"?>
<ds:datastoreItem xmlns:ds="http://schemas.openxmlformats.org/officeDocument/2006/customXml" ds:itemID="{6AB4F0C2-6C78-4369-BC28-4AB962218598}">
  <ds:schemaRefs>
    <ds:schemaRef ds:uri="http://schemas.openxmlformats.org/officeDocument/2006/bibliography"/>
  </ds:schemaRefs>
</ds:datastoreItem>
</file>

<file path=customXml/itemProps3.xml><?xml version="1.0" encoding="utf-8"?>
<ds:datastoreItem xmlns:ds="http://schemas.openxmlformats.org/officeDocument/2006/customXml" ds:itemID="{0922CA68-C19C-4DEA-B0A1-557F6A962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Alison Atherton</cp:lastModifiedBy>
  <cp:revision>6</cp:revision>
  <cp:lastPrinted>2023-09-07T10:43:00Z</cp:lastPrinted>
  <dcterms:created xsi:type="dcterms:W3CDTF">2023-09-12T15:35:00Z</dcterms:created>
  <dcterms:modified xsi:type="dcterms:W3CDTF">2023-09-13T09:31:00Z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